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5A9A1" w14:textId="5C8FBA97" w:rsidR="00B30D03" w:rsidRPr="002D2AA4" w:rsidRDefault="00B30D03" w:rsidP="00B30D03">
      <w:pPr>
        <w:sectPr w:rsidR="00B30D03" w:rsidRPr="002D2AA4" w:rsidSect="00F143D9">
          <w:headerReference w:type="default" r:id="rId8"/>
          <w:footerReference w:type="even" r:id="rId9"/>
          <w:footerReference w:type="default" r:id="rId10"/>
          <w:headerReference w:type="first" r:id="rId11"/>
          <w:footerReference w:type="first" r:id="rId12"/>
          <w:pgSz w:w="11906" w:h="16838"/>
          <w:pgMar w:top="2269" w:right="851" w:bottom="1440" w:left="794" w:header="851" w:footer="567" w:gutter="0"/>
          <w:cols w:space="708"/>
          <w:titlePg/>
          <w:docGrid w:linePitch="360"/>
        </w:sectPr>
      </w:pPr>
    </w:p>
    <w:p w14:paraId="0B1098CE" w14:textId="379C607A" w:rsidR="00B50235" w:rsidRPr="002D2AA4" w:rsidRDefault="00B50235" w:rsidP="00B50235">
      <w:pPr>
        <w:rPr>
          <w:rFonts w:ascii="Calibri" w:hAnsi="Calibri"/>
          <w:b/>
          <w:noProof/>
          <w:color w:val="FF0000"/>
          <w:sz w:val="28"/>
          <w:szCs w:val="32"/>
          <w:u w:val="single"/>
        </w:rPr>
      </w:pPr>
      <w:r w:rsidRPr="002D2AA4">
        <w:rPr>
          <w:rFonts w:ascii="Calibri" w:hAnsi="Calibri"/>
          <w:b/>
          <w:noProof/>
          <w:color w:val="FF0000"/>
          <w:sz w:val="28"/>
          <w:szCs w:val="32"/>
          <w:u w:val="single"/>
        </w:rPr>
        <w:t>Note the following product is not registered in the UK and consequently not available for any investor in the UK.</w:t>
      </w:r>
    </w:p>
    <w:p w14:paraId="1A527FE6" w14:textId="77777777" w:rsidR="00B50235" w:rsidRPr="002D2AA4" w:rsidRDefault="00B50235" w:rsidP="00B50235">
      <w:pPr>
        <w:rPr>
          <w:rFonts w:ascii="Calibri" w:hAnsi="Calibri"/>
          <w:b/>
          <w:noProof/>
          <w:color w:val="FF0000"/>
          <w:sz w:val="36"/>
          <w:szCs w:val="36"/>
        </w:rPr>
      </w:pPr>
    </w:p>
    <w:p w14:paraId="46B7347D" w14:textId="7234CE09" w:rsidR="00DC3435" w:rsidRPr="002D2AA4" w:rsidRDefault="00210A6B" w:rsidP="00A765E6">
      <w:pPr>
        <w:pStyle w:val="Heading2"/>
        <w:spacing w:after="0"/>
        <w:contextualSpacing/>
        <w:jc w:val="both"/>
        <w:rPr>
          <w:b/>
        </w:rPr>
      </w:pPr>
      <w:r w:rsidRPr="002D2AA4">
        <w:rPr>
          <w:b/>
          <w:noProof/>
        </w:rPr>
        <w:t xml:space="preserve">AXA IM expands </w:t>
      </w:r>
      <w:bookmarkStart w:id="0" w:name="_Hlk177660987"/>
      <w:r w:rsidR="006B172F" w:rsidRPr="002D2AA4">
        <w:rPr>
          <w:b/>
          <w:noProof/>
        </w:rPr>
        <w:t>PAB ETF</w:t>
      </w:r>
      <w:r w:rsidRPr="002D2AA4">
        <w:rPr>
          <w:b/>
          <w:noProof/>
        </w:rPr>
        <w:t xml:space="preserve"> </w:t>
      </w:r>
      <w:bookmarkEnd w:id="0"/>
      <w:r w:rsidR="00631AC3" w:rsidRPr="002D2AA4">
        <w:rPr>
          <w:b/>
          <w:noProof/>
        </w:rPr>
        <w:t>range with emerging market debt</w:t>
      </w:r>
      <w:r w:rsidRPr="002D2AA4">
        <w:rPr>
          <w:b/>
          <w:noProof/>
        </w:rPr>
        <w:t xml:space="preserve"> ETF</w:t>
      </w:r>
    </w:p>
    <w:p w14:paraId="3E86662F" w14:textId="77777777" w:rsidR="00A765E6" w:rsidRPr="002D2AA4" w:rsidRDefault="00A765E6" w:rsidP="00A765E6">
      <w:pPr>
        <w:rPr>
          <w:sz w:val="24"/>
          <w:szCs w:val="24"/>
        </w:rPr>
      </w:pPr>
    </w:p>
    <w:p w14:paraId="57FBB2C8" w14:textId="369EE889" w:rsidR="00BA2634" w:rsidRPr="002D2AA4" w:rsidRDefault="00210A6B" w:rsidP="00A765E6">
      <w:pPr>
        <w:pStyle w:val="Byline"/>
        <w:spacing w:after="0"/>
        <w:contextualSpacing/>
        <w:jc w:val="both"/>
        <w:rPr>
          <w:b w:val="0"/>
          <w:bCs w:val="0"/>
        </w:rPr>
      </w:pPr>
      <w:r w:rsidRPr="002D2AA4">
        <w:rPr>
          <w:b w:val="0"/>
          <w:bCs w:val="0"/>
        </w:rPr>
        <w:t xml:space="preserve">AXA Investment Managers (AXA IM) </w:t>
      </w:r>
      <w:r w:rsidR="00650EB1">
        <w:rPr>
          <w:b w:val="0"/>
          <w:bCs w:val="0"/>
        </w:rPr>
        <w:t>has</w:t>
      </w:r>
      <w:r w:rsidR="00650EB1" w:rsidRPr="002D2AA4">
        <w:rPr>
          <w:b w:val="0"/>
          <w:bCs w:val="0"/>
        </w:rPr>
        <w:t xml:space="preserve"> </w:t>
      </w:r>
      <w:r w:rsidRPr="002D2AA4">
        <w:rPr>
          <w:b w:val="0"/>
          <w:bCs w:val="0"/>
        </w:rPr>
        <w:t>launch</w:t>
      </w:r>
      <w:r w:rsidR="00650EB1">
        <w:rPr>
          <w:b w:val="0"/>
          <w:bCs w:val="0"/>
        </w:rPr>
        <w:t>ed</w:t>
      </w:r>
      <w:r w:rsidRPr="002D2AA4">
        <w:rPr>
          <w:b w:val="0"/>
          <w:bCs w:val="0"/>
        </w:rPr>
        <w:t xml:space="preserve"> a new passive </w:t>
      </w:r>
      <w:r w:rsidR="005B74EB">
        <w:rPr>
          <w:b w:val="0"/>
          <w:bCs w:val="0"/>
        </w:rPr>
        <w:t>product</w:t>
      </w:r>
      <w:r w:rsidRPr="002D2AA4">
        <w:rPr>
          <w:b w:val="0"/>
          <w:bCs w:val="0"/>
        </w:rPr>
        <w:t xml:space="preserve">, </w:t>
      </w:r>
      <w:r w:rsidR="005B74EB">
        <w:rPr>
          <w:b w:val="0"/>
          <w:bCs w:val="0"/>
        </w:rPr>
        <w:t xml:space="preserve">the </w:t>
      </w:r>
      <w:r w:rsidRPr="002D2AA4">
        <w:rPr>
          <w:b w:val="0"/>
          <w:bCs w:val="0"/>
        </w:rPr>
        <w:t>AXA IM Emerging Markets Credit PAB UCITS ETF</w:t>
      </w:r>
      <w:r w:rsidR="0081152C" w:rsidRPr="002D2AA4">
        <w:rPr>
          <w:b w:val="0"/>
          <w:bCs w:val="0"/>
        </w:rPr>
        <w:t xml:space="preserve">, with credit </w:t>
      </w:r>
      <w:r w:rsidR="00E15113" w:rsidRPr="002D2AA4">
        <w:rPr>
          <w:b w:val="0"/>
          <w:bCs w:val="0"/>
        </w:rPr>
        <w:t xml:space="preserve">exposure </w:t>
      </w:r>
      <w:r w:rsidR="005B74EB">
        <w:rPr>
          <w:b w:val="0"/>
          <w:bCs w:val="0"/>
        </w:rPr>
        <w:t>to</w:t>
      </w:r>
      <w:r w:rsidR="00403DDC" w:rsidRPr="002D2AA4">
        <w:rPr>
          <w:b w:val="0"/>
          <w:bCs w:val="0"/>
        </w:rPr>
        <w:t xml:space="preserve"> the</w:t>
      </w:r>
      <w:r w:rsidR="0081152C" w:rsidRPr="002D2AA4">
        <w:rPr>
          <w:b w:val="0"/>
          <w:bCs w:val="0"/>
        </w:rPr>
        <w:t xml:space="preserve"> </w:t>
      </w:r>
      <w:r w:rsidR="00E15113" w:rsidRPr="002D2AA4">
        <w:rPr>
          <w:b w:val="0"/>
          <w:bCs w:val="0"/>
        </w:rPr>
        <w:t xml:space="preserve">main </w:t>
      </w:r>
      <w:r w:rsidR="0081152C" w:rsidRPr="002D2AA4">
        <w:rPr>
          <w:b w:val="0"/>
          <w:bCs w:val="0"/>
        </w:rPr>
        <w:t>emerging markets</w:t>
      </w:r>
      <w:r w:rsidR="005B74EB">
        <w:rPr>
          <w:b w:val="0"/>
          <w:bCs w:val="0"/>
        </w:rPr>
        <w:t xml:space="preserve"> adding to</w:t>
      </w:r>
      <w:r w:rsidR="005B74EB" w:rsidRPr="002D2AA4">
        <w:rPr>
          <w:b w:val="0"/>
          <w:bCs w:val="0"/>
        </w:rPr>
        <w:t xml:space="preserve"> its </w:t>
      </w:r>
      <w:r w:rsidR="005B74EB">
        <w:rPr>
          <w:b w:val="0"/>
          <w:bCs w:val="0"/>
        </w:rPr>
        <w:t xml:space="preserve">existing </w:t>
      </w:r>
      <w:r w:rsidR="005B74EB" w:rsidRPr="002D2AA4">
        <w:rPr>
          <w:b w:val="0"/>
          <w:bCs w:val="0"/>
        </w:rPr>
        <w:t>PAB (Paris Aligned Benchmark</w:t>
      </w:r>
      <w:r w:rsidR="005B74EB" w:rsidRPr="002D2AA4">
        <w:rPr>
          <w:rStyle w:val="FootnoteReference"/>
          <w:b w:val="0"/>
          <w:bCs w:val="0"/>
        </w:rPr>
        <w:footnoteReference w:id="1"/>
      </w:r>
      <w:r w:rsidR="005B74EB" w:rsidRPr="002D2AA4">
        <w:rPr>
          <w:b w:val="0"/>
          <w:bCs w:val="0"/>
        </w:rPr>
        <w:t>) range</w:t>
      </w:r>
      <w:r w:rsidR="005B74EB">
        <w:rPr>
          <w:b w:val="0"/>
          <w:bCs w:val="0"/>
        </w:rPr>
        <w:t xml:space="preserve"> of ETFs</w:t>
      </w:r>
      <w:r w:rsidR="0081152C" w:rsidRPr="002D2AA4">
        <w:rPr>
          <w:b w:val="0"/>
          <w:bCs w:val="0"/>
        </w:rPr>
        <w:t>.</w:t>
      </w:r>
    </w:p>
    <w:p w14:paraId="636BCFB9" w14:textId="77777777" w:rsidR="00A765E6" w:rsidRPr="002D2AA4" w:rsidRDefault="00A765E6" w:rsidP="00A765E6">
      <w:pPr>
        <w:pStyle w:val="Byline"/>
        <w:spacing w:after="0"/>
        <w:contextualSpacing/>
        <w:rPr>
          <w:b w:val="0"/>
          <w:bCs w:val="0"/>
          <w:sz w:val="22"/>
          <w:szCs w:val="22"/>
        </w:rPr>
      </w:pPr>
    </w:p>
    <w:p w14:paraId="6D3678F1" w14:textId="30A341C9" w:rsidR="003065EF" w:rsidRPr="002D2AA4" w:rsidRDefault="0081152C" w:rsidP="00381733">
      <w:pPr>
        <w:jc w:val="both"/>
        <w:rPr>
          <w:rFonts w:asciiTheme="majorHAnsi" w:hAnsiTheme="majorHAnsi" w:cstheme="majorHAnsi"/>
          <w:bCs w:val="0"/>
          <w:noProof/>
          <w:color w:val="000000"/>
          <w:sz w:val="22"/>
          <w:szCs w:val="22"/>
        </w:rPr>
      </w:pPr>
      <w:bookmarkStart w:id="1" w:name="_Hlk32916710"/>
      <w:bookmarkStart w:id="2" w:name="_Hlk31969917"/>
      <w:bookmarkStart w:id="3" w:name="_Hlk892301"/>
      <w:bookmarkStart w:id="4" w:name="_Hlk1498779"/>
      <w:r w:rsidRPr="002D2AA4">
        <w:rPr>
          <w:rFonts w:asciiTheme="majorHAnsi" w:hAnsiTheme="majorHAnsi" w:cstheme="majorHAnsi"/>
          <w:bCs w:val="0"/>
          <w:noProof/>
          <w:color w:val="000000"/>
          <w:sz w:val="22"/>
          <w:szCs w:val="22"/>
        </w:rPr>
        <w:t xml:space="preserve">This new indexed ETF </w:t>
      </w:r>
      <w:r w:rsidR="006162EC" w:rsidRPr="002D2AA4">
        <w:rPr>
          <w:rFonts w:asciiTheme="majorHAnsi" w:hAnsiTheme="majorHAnsi" w:cstheme="majorHAnsi"/>
          <w:bCs w:val="0"/>
          <w:noProof/>
          <w:color w:val="000000"/>
          <w:sz w:val="22"/>
          <w:szCs w:val="22"/>
        </w:rPr>
        <w:t xml:space="preserve">aims to replicate </w:t>
      </w:r>
      <w:r w:rsidRPr="002D2AA4">
        <w:rPr>
          <w:rFonts w:asciiTheme="majorHAnsi" w:hAnsiTheme="majorHAnsi" w:cstheme="majorHAnsi"/>
          <w:bCs w:val="0"/>
          <w:noProof/>
          <w:color w:val="000000"/>
          <w:sz w:val="22"/>
          <w:szCs w:val="22"/>
        </w:rPr>
        <w:t xml:space="preserve">the performance of the ICE® Emerging Markets Corporate Plus Paris Aligned Absolute Emissions Index (EMCBPABA), net of management fees, both upwards and downwards. This index offers exposure </w:t>
      </w:r>
      <w:r w:rsidR="003065EF" w:rsidRPr="002D2AA4">
        <w:rPr>
          <w:rFonts w:asciiTheme="majorHAnsi" w:hAnsiTheme="majorHAnsi" w:cstheme="majorHAnsi"/>
          <w:bCs w:val="0"/>
          <w:noProof/>
          <w:color w:val="000000"/>
          <w:sz w:val="22"/>
          <w:szCs w:val="22"/>
        </w:rPr>
        <w:t>to</w:t>
      </w:r>
      <w:r w:rsidR="00AB1630">
        <w:rPr>
          <w:rFonts w:asciiTheme="majorHAnsi" w:hAnsiTheme="majorHAnsi" w:cstheme="majorHAnsi"/>
          <w:bCs w:val="0"/>
          <w:noProof/>
          <w:color w:val="000000"/>
          <w:sz w:val="22"/>
          <w:szCs w:val="22"/>
        </w:rPr>
        <w:t xml:space="preserve"> the</w:t>
      </w:r>
      <w:r w:rsidR="00794B88" w:rsidRPr="002D2AA4">
        <w:rPr>
          <w:rFonts w:asciiTheme="majorHAnsi" w:hAnsiTheme="majorHAnsi" w:cstheme="majorHAnsi"/>
          <w:bCs w:val="0"/>
          <w:noProof/>
          <w:color w:val="000000"/>
          <w:sz w:val="22"/>
          <w:szCs w:val="22"/>
        </w:rPr>
        <w:t xml:space="preserve"> Investment Grad</w:t>
      </w:r>
      <w:r w:rsidR="00E7505F" w:rsidRPr="002D2AA4">
        <w:rPr>
          <w:rFonts w:asciiTheme="majorHAnsi" w:hAnsiTheme="majorHAnsi" w:cstheme="majorHAnsi"/>
          <w:bCs w:val="0"/>
          <w:noProof/>
          <w:color w:val="000000"/>
          <w:sz w:val="22"/>
          <w:szCs w:val="22"/>
        </w:rPr>
        <w:t>e</w:t>
      </w:r>
      <w:r w:rsidR="00403DDC" w:rsidRPr="002D2AA4">
        <w:rPr>
          <w:rFonts w:asciiTheme="majorHAnsi" w:hAnsiTheme="majorHAnsi" w:cstheme="majorHAnsi"/>
          <w:bCs w:val="0"/>
          <w:noProof/>
          <w:color w:val="000000"/>
          <w:sz w:val="22"/>
          <w:szCs w:val="22"/>
        </w:rPr>
        <w:t xml:space="preserve"> </w:t>
      </w:r>
      <w:r w:rsidR="00FB3497" w:rsidRPr="002D2AA4">
        <w:rPr>
          <w:rFonts w:asciiTheme="majorHAnsi" w:hAnsiTheme="majorHAnsi" w:cstheme="majorHAnsi"/>
          <w:bCs w:val="0"/>
          <w:noProof/>
          <w:color w:val="000000"/>
          <w:sz w:val="22"/>
          <w:szCs w:val="22"/>
        </w:rPr>
        <w:t xml:space="preserve">and </w:t>
      </w:r>
      <w:r w:rsidR="005E3BDB" w:rsidRPr="002D2AA4">
        <w:rPr>
          <w:rFonts w:asciiTheme="majorHAnsi" w:hAnsiTheme="majorHAnsi" w:cstheme="majorHAnsi"/>
          <w:bCs w:val="0"/>
          <w:noProof/>
          <w:color w:val="000000"/>
          <w:sz w:val="22"/>
          <w:szCs w:val="22"/>
        </w:rPr>
        <w:t>H</w:t>
      </w:r>
      <w:r w:rsidR="00FB3497" w:rsidRPr="002D2AA4">
        <w:rPr>
          <w:rFonts w:asciiTheme="majorHAnsi" w:hAnsiTheme="majorHAnsi" w:cstheme="majorHAnsi"/>
          <w:bCs w:val="0"/>
          <w:noProof/>
          <w:color w:val="000000"/>
          <w:sz w:val="22"/>
          <w:szCs w:val="22"/>
        </w:rPr>
        <w:t xml:space="preserve">igh </w:t>
      </w:r>
      <w:r w:rsidR="005E3BDB" w:rsidRPr="002D2AA4">
        <w:rPr>
          <w:rFonts w:asciiTheme="majorHAnsi" w:hAnsiTheme="majorHAnsi" w:cstheme="majorHAnsi"/>
          <w:bCs w:val="0"/>
          <w:noProof/>
          <w:color w:val="000000"/>
          <w:sz w:val="22"/>
          <w:szCs w:val="22"/>
        </w:rPr>
        <w:t>Y</w:t>
      </w:r>
      <w:r w:rsidR="00FB3497" w:rsidRPr="002D2AA4">
        <w:rPr>
          <w:rFonts w:asciiTheme="majorHAnsi" w:hAnsiTheme="majorHAnsi" w:cstheme="majorHAnsi"/>
          <w:bCs w:val="0"/>
          <w:noProof/>
          <w:color w:val="000000"/>
          <w:sz w:val="22"/>
          <w:szCs w:val="22"/>
        </w:rPr>
        <w:t>ield bonds universe</w:t>
      </w:r>
      <w:r w:rsidR="00E15113" w:rsidRPr="002D2AA4">
        <w:rPr>
          <w:rFonts w:asciiTheme="majorHAnsi" w:hAnsiTheme="majorHAnsi" w:cstheme="majorHAnsi"/>
          <w:bCs w:val="0"/>
          <w:noProof/>
          <w:color w:val="000000"/>
          <w:sz w:val="22"/>
          <w:szCs w:val="22"/>
        </w:rPr>
        <w:t>s</w:t>
      </w:r>
      <w:r w:rsidR="00FB3497" w:rsidRPr="002D2AA4">
        <w:rPr>
          <w:rFonts w:asciiTheme="majorHAnsi" w:hAnsiTheme="majorHAnsi" w:cstheme="majorHAnsi"/>
          <w:bCs w:val="0"/>
          <w:noProof/>
          <w:color w:val="000000"/>
          <w:sz w:val="22"/>
          <w:szCs w:val="22"/>
        </w:rPr>
        <w:t xml:space="preserve">, denominated in USD and EUR, and issued by non-sovereign emerging markets issuers in the </w:t>
      </w:r>
      <w:r w:rsidR="00E15113" w:rsidRPr="002D2AA4">
        <w:rPr>
          <w:rFonts w:asciiTheme="majorHAnsi" w:hAnsiTheme="majorHAnsi" w:cstheme="majorHAnsi"/>
          <w:bCs w:val="0"/>
          <w:noProof/>
          <w:color w:val="000000"/>
          <w:sz w:val="22"/>
          <w:szCs w:val="22"/>
        </w:rPr>
        <w:t xml:space="preserve">main </w:t>
      </w:r>
      <w:r w:rsidR="00FB3497" w:rsidRPr="002D2AA4">
        <w:rPr>
          <w:rFonts w:asciiTheme="majorHAnsi" w:hAnsiTheme="majorHAnsi" w:cstheme="majorHAnsi"/>
          <w:bCs w:val="0"/>
          <w:noProof/>
          <w:color w:val="000000"/>
          <w:sz w:val="22"/>
          <w:szCs w:val="22"/>
        </w:rPr>
        <w:t>domestic and Eurobond markets</w:t>
      </w:r>
      <w:r w:rsidR="003065EF" w:rsidRPr="002D2AA4">
        <w:rPr>
          <w:rFonts w:asciiTheme="majorHAnsi" w:hAnsiTheme="majorHAnsi" w:cstheme="majorHAnsi"/>
          <w:bCs w:val="0"/>
          <w:noProof/>
          <w:color w:val="000000"/>
          <w:sz w:val="22"/>
          <w:szCs w:val="22"/>
        </w:rPr>
        <w:t xml:space="preserve">. With this ETF, investors will </w:t>
      </w:r>
      <w:r w:rsidR="00E15113" w:rsidRPr="002D2AA4">
        <w:rPr>
          <w:rFonts w:asciiTheme="majorHAnsi" w:hAnsiTheme="majorHAnsi" w:cstheme="majorHAnsi"/>
          <w:bCs w:val="0"/>
          <w:noProof/>
          <w:color w:val="000000"/>
          <w:sz w:val="22"/>
          <w:szCs w:val="22"/>
        </w:rPr>
        <w:t>get access</w:t>
      </w:r>
      <w:r w:rsidR="006162EC" w:rsidRPr="002D2AA4">
        <w:rPr>
          <w:rFonts w:asciiTheme="majorHAnsi" w:hAnsiTheme="majorHAnsi" w:cstheme="majorHAnsi"/>
          <w:bCs w:val="0"/>
          <w:noProof/>
          <w:color w:val="000000"/>
          <w:sz w:val="22"/>
          <w:szCs w:val="22"/>
        </w:rPr>
        <w:t>,</w:t>
      </w:r>
      <w:r w:rsidR="003065EF" w:rsidRPr="002D2AA4">
        <w:rPr>
          <w:rFonts w:asciiTheme="majorHAnsi" w:hAnsiTheme="majorHAnsi" w:cstheme="majorHAnsi"/>
          <w:bCs w:val="0"/>
          <w:noProof/>
          <w:color w:val="000000"/>
          <w:sz w:val="22"/>
          <w:szCs w:val="22"/>
        </w:rPr>
        <w:t xml:space="preserve"> </w:t>
      </w:r>
      <w:r w:rsidR="005E3BDB" w:rsidRPr="002D2AA4">
        <w:rPr>
          <w:rFonts w:asciiTheme="majorHAnsi" w:hAnsiTheme="majorHAnsi" w:cstheme="majorHAnsi"/>
          <w:bCs w:val="0"/>
          <w:noProof/>
          <w:color w:val="000000"/>
          <w:sz w:val="22"/>
          <w:szCs w:val="22"/>
        </w:rPr>
        <w:t xml:space="preserve">in </w:t>
      </w:r>
      <w:r w:rsidR="003065EF" w:rsidRPr="002D2AA4">
        <w:rPr>
          <w:rFonts w:asciiTheme="majorHAnsi" w:hAnsiTheme="majorHAnsi" w:cstheme="majorHAnsi"/>
          <w:bCs w:val="0"/>
          <w:noProof/>
          <w:color w:val="000000"/>
          <w:sz w:val="22"/>
          <w:szCs w:val="22"/>
        </w:rPr>
        <w:t>one single transaction</w:t>
      </w:r>
      <w:r w:rsidR="006162EC" w:rsidRPr="002D2AA4">
        <w:rPr>
          <w:rFonts w:asciiTheme="majorHAnsi" w:hAnsiTheme="majorHAnsi" w:cstheme="majorHAnsi"/>
          <w:bCs w:val="0"/>
          <w:noProof/>
          <w:color w:val="000000"/>
          <w:sz w:val="22"/>
          <w:szCs w:val="22"/>
        </w:rPr>
        <w:t>,</w:t>
      </w:r>
      <w:r w:rsidR="003065EF" w:rsidRPr="002D2AA4">
        <w:rPr>
          <w:rFonts w:asciiTheme="majorHAnsi" w:hAnsiTheme="majorHAnsi" w:cstheme="majorHAnsi"/>
          <w:bCs w:val="0"/>
          <w:noProof/>
          <w:color w:val="000000"/>
          <w:sz w:val="22"/>
          <w:szCs w:val="22"/>
        </w:rPr>
        <w:t xml:space="preserve"> to</w:t>
      </w:r>
      <w:r w:rsidR="00AB1630">
        <w:rPr>
          <w:rFonts w:asciiTheme="majorHAnsi" w:hAnsiTheme="majorHAnsi" w:cstheme="majorHAnsi"/>
          <w:bCs w:val="0"/>
          <w:noProof/>
          <w:color w:val="000000"/>
          <w:sz w:val="22"/>
          <w:szCs w:val="22"/>
        </w:rPr>
        <w:t xml:space="preserve"> the</w:t>
      </w:r>
      <w:r w:rsidR="003065EF" w:rsidRPr="002D2AA4">
        <w:rPr>
          <w:rFonts w:asciiTheme="majorHAnsi" w:hAnsiTheme="majorHAnsi" w:cstheme="majorHAnsi"/>
          <w:bCs w:val="0"/>
          <w:noProof/>
          <w:color w:val="000000"/>
          <w:sz w:val="22"/>
          <w:szCs w:val="22"/>
        </w:rPr>
        <w:t xml:space="preserve"> </w:t>
      </w:r>
      <w:r w:rsidR="00E15113" w:rsidRPr="002D2AA4">
        <w:rPr>
          <w:rFonts w:asciiTheme="majorHAnsi" w:hAnsiTheme="majorHAnsi" w:cstheme="majorHAnsi"/>
          <w:bCs w:val="0"/>
          <w:noProof/>
          <w:color w:val="000000"/>
          <w:sz w:val="22"/>
          <w:szCs w:val="22"/>
        </w:rPr>
        <w:t xml:space="preserve">corporate </w:t>
      </w:r>
      <w:r w:rsidR="003065EF" w:rsidRPr="002D2AA4">
        <w:rPr>
          <w:rFonts w:asciiTheme="majorHAnsi" w:hAnsiTheme="majorHAnsi" w:cstheme="majorHAnsi"/>
          <w:bCs w:val="0"/>
          <w:noProof/>
          <w:color w:val="000000"/>
          <w:sz w:val="22"/>
          <w:szCs w:val="22"/>
        </w:rPr>
        <w:t xml:space="preserve">debt of emerging markets </w:t>
      </w:r>
      <w:r w:rsidR="00A431B8" w:rsidRPr="002D2AA4">
        <w:rPr>
          <w:rFonts w:asciiTheme="majorHAnsi" w:hAnsiTheme="majorHAnsi" w:cstheme="majorHAnsi"/>
          <w:bCs w:val="0"/>
          <w:noProof/>
          <w:color w:val="000000"/>
          <w:sz w:val="22"/>
          <w:szCs w:val="22"/>
        </w:rPr>
        <w:t>while investing in companies</w:t>
      </w:r>
      <w:r w:rsidR="002F5D67" w:rsidRPr="002D2AA4">
        <w:rPr>
          <w:rFonts w:asciiTheme="majorHAnsi" w:hAnsiTheme="majorHAnsi" w:cstheme="majorHAnsi"/>
          <w:bCs w:val="0"/>
          <w:noProof/>
          <w:color w:val="000000"/>
          <w:sz w:val="22"/>
          <w:szCs w:val="22"/>
        </w:rPr>
        <w:t xml:space="preserve"> that</w:t>
      </w:r>
      <w:r w:rsidR="00A3230C" w:rsidRPr="002D2AA4">
        <w:rPr>
          <w:rFonts w:asciiTheme="majorHAnsi" w:hAnsiTheme="majorHAnsi" w:cstheme="majorHAnsi"/>
          <w:bCs w:val="0"/>
          <w:noProof/>
          <w:color w:val="000000"/>
          <w:sz w:val="22"/>
          <w:szCs w:val="22"/>
        </w:rPr>
        <w:t xml:space="preserve"> seek to</w:t>
      </w:r>
      <w:r w:rsidR="00A431B8" w:rsidRPr="002D2AA4">
        <w:rPr>
          <w:rFonts w:asciiTheme="majorHAnsi" w:hAnsiTheme="majorHAnsi" w:cstheme="majorHAnsi"/>
          <w:bCs w:val="0"/>
          <w:noProof/>
          <w:color w:val="000000"/>
          <w:sz w:val="22"/>
          <w:szCs w:val="22"/>
        </w:rPr>
        <w:t xml:space="preserve"> </w:t>
      </w:r>
      <w:r w:rsidR="00A3230C" w:rsidRPr="002D2AA4">
        <w:rPr>
          <w:rFonts w:asciiTheme="majorHAnsi" w:hAnsiTheme="majorHAnsi" w:cstheme="majorHAnsi"/>
          <w:bCs w:val="0"/>
          <w:noProof/>
          <w:color w:val="000000"/>
          <w:sz w:val="22"/>
          <w:szCs w:val="22"/>
        </w:rPr>
        <w:t>meet carbon emission</w:t>
      </w:r>
      <w:r w:rsidR="00AB1630">
        <w:rPr>
          <w:rFonts w:asciiTheme="majorHAnsi" w:hAnsiTheme="majorHAnsi" w:cstheme="majorHAnsi"/>
          <w:bCs w:val="0"/>
          <w:noProof/>
          <w:color w:val="000000"/>
          <w:sz w:val="22"/>
          <w:szCs w:val="22"/>
        </w:rPr>
        <w:t xml:space="preserve"> </w:t>
      </w:r>
      <w:r w:rsidR="00A3230C" w:rsidRPr="002D2AA4">
        <w:rPr>
          <w:rFonts w:asciiTheme="majorHAnsi" w:hAnsiTheme="majorHAnsi" w:cstheme="majorHAnsi"/>
          <w:bCs w:val="0"/>
          <w:noProof/>
          <w:color w:val="000000"/>
          <w:sz w:val="22"/>
          <w:szCs w:val="22"/>
        </w:rPr>
        <w:t xml:space="preserve">reduction targets </w:t>
      </w:r>
      <w:r w:rsidR="00A431B8" w:rsidRPr="002D2AA4">
        <w:rPr>
          <w:rFonts w:asciiTheme="majorHAnsi" w:hAnsiTheme="majorHAnsi" w:cstheme="majorHAnsi"/>
          <w:bCs w:val="0"/>
          <w:noProof/>
          <w:color w:val="000000"/>
          <w:sz w:val="22"/>
          <w:szCs w:val="22"/>
        </w:rPr>
        <w:t>as defined by the Paris Agreement</w:t>
      </w:r>
      <w:r w:rsidR="002F5D67" w:rsidRPr="002D2AA4">
        <w:rPr>
          <w:rStyle w:val="FootnoteReference"/>
          <w:rFonts w:asciiTheme="majorHAnsi" w:hAnsiTheme="majorHAnsi" w:cstheme="majorHAnsi"/>
          <w:bCs w:val="0"/>
          <w:noProof/>
          <w:color w:val="000000"/>
          <w:sz w:val="22"/>
          <w:szCs w:val="22"/>
        </w:rPr>
        <w:footnoteReference w:id="2"/>
      </w:r>
      <w:r w:rsidR="00A431B8" w:rsidRPr="002D2AA4">
        <w:rPr>
          <w:rFonts w:asciiTheme="majorHAnsi" w:hAnsiTheme="majorHAnsi" w:cstheme="majorHAnsi"/>
          <w:bCs w:val="0"/>
          <w:noProof/>
          <w:color w:val="000000"/>
          <w:sz w:val="22"/>
          <w:szCs w:val="22"/>
        </w:rPr>
        <w:t>.</w:t>
      </w:r>
    </w:p>
    <w:p w14:paraId="4B43F2D8" w14:textId="77777777" w:rsidR="00A765E6" w:rsidRPr="002D2AA4" w:rsidRDefault="00A765E6" w:rsidP="00381733">
      <w:pPr>
        <w:jc w:val="both"/>
        <w:rPr>
          <w:rFonts w:asciiTheme="majorHAnsi" w:hAnsiTheme="majorHAnsi" w:cstheme="majorHAnsi"/>
          <w:bCs w:val="0"/>
          <w:noProof/>
          <w:color w:val="000000"/>
          <w:sz w:val="22"/>
          <w:szCs w:val="22"/>
        </w:rPr>
      </w:pPr>
    </w:p>
    <w:p w14:paraId="3D55A695" w14:textId="75FA8FCF" w:rsidR="00141E86" w:rsidRPr="002D2AA4" w:rsidRDefault="00AB1630" w:rsidP="00210457">
      <w:pPr>
        <w:jc w:val="both"/>
        <w:rPr>
          <w:rFonts w:asciiTheme="majorHAnsi" w:hAnsiTheme="majorHAnsi" w:cstheme="majorHAnsi"/>
          <w:b/>
          <w:noProof/>
          <w:color w:val="000000"/>
          <w:sz w:val="22"/>
          <w:szCs w:val="22"/>
        </w:rPr>
      </w:pPr>
      <w:r>
        <w:rPr>
          <w:rFonts w:asciiTheme="majorHAnsi" w:hAnsiTheme="majorHAnsi" w:cstheme="majorHAnsi"/>
          <w:bCs w:val="0"/>
          <w:noProof/>
          <w:color w:val="000000"/>
          <w:sz w:val="22"/>
          <w:szCs w:val="22"/>
        </w:rPr>
        <w:t>“</w:t>
      </w:r>
      <w:r w:rsidR="00E15113" w:rsidRPr="002D2AA4">
        <w:rPr>
          <w:rFonts w:asciiTheme="majorHAnsi" w:hAnsiTheme="majorHAnsi" w:cstheme="majorHAnsi"/>
          <w:bCs w:val="0"/>
          <w:i/>
          <w:iCs/>
          <w:noProof/>
          <w:color w:val="000000"/>
          <w:sz w:val="22"/>
          <w:szCs w:val="22"/>
        </w:rPr>
        <w:t>Strenghtening our</w:t>
      </w:r>
      <w:r w:rsidR="004D20D5" w:rsidRPr="002D2AA4">
        <w:rPr>
          <w:rFonts w:asciiTheme="majorHAnsi" w:hAnsiTheme="majorHAnsi" w:cstheme="majorHAnsi"/>
          <w:bCs w:val="0"/>
          <w:i/>
          <w:iCs/>
          <w:noProof/>
          <w:color w:val="000000"/>
          <w:sz w:val="22"/>
          <w:szCs w:val="22"/>
        </w:rPr>
        <w:t xml:space="preserve"> </w:t>
      </w:r>
      <w:r w:rsidR="00E15113" w:rsidRPr="002D2AA4">
        <w:rPr>
          <w:rFonts w:asciiTheme="majorHAnsi" w:hAnsiTheme="majorHAnsi" w:cstheme="majorHAnsi"/>
          <w:bCs w:val="0"/>
          <w:i/>
          <w:iCs/>
          <w:noProof/>
          <w:color w:val="000000"/>
          <w:sz w:val="22"/>
          <w:szCs w:val="22"/>
        </w:rPr>
        <w:t xml:space="preserve">fixed income </w:t>
      </w:r>
      <w:r w:rsidR="004D20D5" w:rsidRPr="002D2AA4">
        <w:rPr>
          <w:rFonts w:asciiTheme="majorHAnsi" w:hAnsiTheme="majorHAnsi" w:cstheme="majorHAnsi"/>
          <w:bCs w:val="0"/>
          <w:i/>
          <w:iCs/>
          <w:noProof/>
          <w:color w:val="000000"/>
          <w:sz w:val="22"/>
          <w:szCs w:val="22"/>
        </w:rPr>
        <w:t xml:space="preserve">ETF </w:t>
      </w:r>
      <w:r w:rsidR="00E15113" w:rsidRPr="002D2AA4">
        <w:rPr>
          <w:rFonts w:asciiTheme="majorHAnsi" w:hAnsiTheme="majorHAnsi" w:cstheme="majorHAnsi"/>
          <w:bCs w:val="0"/>
          <w:i/>
          <w:iCs/>
          <w:noProof/>
          <w:color w:val="000000"/>
          <w:sz w:val="22"/>
          <w:szCs w:val="22"/>
        </w:rPr>
        <w:t>offer</w:t>
      </w:r>
      <w:r>
        <w:rPr>
          <w:rFonts w:asciiTheme="majorHAnsi" w:hAnsiTheme="majorHAnsi" w:cstheme="majorHAnsi"/>
          <w:bCs w:val="0"/>
          <w:i/>
          <w:iCs/>
          <w:noProof/>
          <w:color w:val="000000"/>
          <w:sz w:val="22"/>
          <w:szCs w:val="22"/>
        </w:rPr>
        <w:t xml:space="preserve">ing </w:t>
      </w:r>
      <w:r w:rsidR="004D20D5" w:rsidRPr="002D2AA4">
        <w:rPr>
          <w:rFonts w:asciiTheme="majorHAnsi" w:hAnsiTheme="majorHAnsi" w:cstheme="majorHAnsi"/>
          <w:bCs w:val="0"/>
          <w:i/>
          <w:iCs/>
          <w:noProof/>
          <w:color w:val="000000"/>
          <w:sz w:val="22"/>
          <w:szCs w:val="22"/>
        </w:rPr>
        <w:t xml:space="preserve">with a focus on ESG is a priority to </w:t>
      </w:r>
      <w:r w:rsidR="00FB3497" w:rsidRPr="002D2AA4">
        <w:rPr>
          <w:rFonts w:asciiTheme="majorHAnsi" w:hAnsiTheme="majorHAnsi" w:cstheme="majorHAnsi"/>
          <w:bCs w:val="0"/>
          <w:i/>
          <w:iCs/>
          <w:noProof/>
          <w:color w:val="000000"/>
          <w:sz w:val="22"/>
          <w:szCs w:val="22"/>
        </w:rPr>
        <w:t>meet</w:t>
      </w:r>
      <w:r>
        <w:rPr>
          <w:rFonts w:asciiTheme="majorHAnsi" w:hAnsiTheme="majorHAnsi" w:cstheme="majorHAnsi"/>
          <w:bCs w:val="0"/>
          <w:i/>
          <w:iCs/>
          <w:noProof/>
          <w:color w:val="000000"/>
          <w:sz w:val="22"/>
          <w:szCs w:val="22"/>
        </w:rPr>
        <w:t xml:space="preserve"> our</w:t>
      </w:r>
      <w:r w:rsidR="00494E7D" w:rsidRPr="002D2AA4">
        <w:rPr>
          <w:rFonts w:asciiTheme="majorHAnsi" w:hAnsiTheme="majorHAnsi" w:cstheme="majorHAnsi"/>
          <w:bCs w:val="0"/>
          <w:i/>
          <w:iCs/>
          <w:noProof/>
          <w:color w:val="000000"/>
          <w:sz w:val="22"/>
          <w:szCs w:val="22"/>
        </w:rPr>
        <w:t xml:space="preserve"> </w:t>
      </w:r>
      <w:r w:rsidR="004D20D5" w:rsidRPr="002D2AA4">
        <w:rPr>
          <w:rFonts w:asciiTheme="majorHAnsi" w:hAnsiTheme="majorHAnsi" w:cstheme="majorHAnsi"/>
          <w:bCs w:val="0"/>
          <w:i/>
          <w:iCs/>
          <w:noProof/>
          <w:color w:val="000000"/>
          <w:sz w:val="22"/>
          <w:szCs w:val="22"/>
        </w:rPr>
        <w:t>investors</w:t>
      </w:r>
      <w:r w:rsidR="00E15113" w:rsidRPr="002D2AA4">
        <w:rPr>
          <w:rFonts w:asciiTheme="majorHAnsi" w:hAnsiTheme="majorHAnsi" w:cstheme="majorHAnsi"/>
          <w:bCs w:val="0"/>
          <w:i/>
          <w:iCs/>
          <w:noProof/>
          <w:color w:val="000000"/>
          <w:sz w:val="22"/>
          <w:szCs w:val="22"/>
        </w:rPr>
        <w:t>’</w:t>
      </w:r>
      <w:r w:rsidR="004D20D5" w:rsidRPr="002D2AA4">
        <w:rPr>
          <w:rFonts w:asciiTheme="majorHAnsi" w:hAnsiTheme="majorHAnsi" w:cstheme="majorHAnsi"/>
          <w:bCs w:val="0"/>
          <w:i/>
          <w:iCs/>
          <w:noProof/>
          <w:color w:val="000000"/>
          <w:sz w:val="22"/>
          <w:szCs w:val="22"/>
        </w:rPr>
        <w:t xml:space="preserve"> needs. With </w:t>
      </w:r>
      <w:r>
        <w:rPr>
          <w:rFonts w:asciiTheme="majorHAnsi" w:hAnsiTheme="majorHAnsi" w:cstheme="majorHAnsi"/>
          <w:bCs w:val="0"/>
          <w:i/>
          <w:iCs/>
          <w:noProof/>
          <w:color w:val="000000"/>
          <w:sz w:val="22"/>
          <w:szCs w:val="22"/>
        </w:rPr>
        <w:t xml:space="preserve">the </w:t>
      </w:r>
      <w:r w:rsidR="004D20D5" w:rsidRPr="002D2AA4">
        <w:rPr>
          <w:rFonts w:asciiTheme="majorHAnsi" w:hAnsiTheme="majorHAnsi" w:cstheme="majorHAnsi"/>
          <w:bCs w:val="0"/>
          <w:i/>
          <w:iCs/>
          <w:noProof/>
          <w:color w:val="000000"/>
          <w:sz w:val="22"/>
          <w:szCs w:val="22"/>
        </w:rPr>
        <w:t xml:space="preserve">AXA IM Emerging Markets Credit PAB UCITS ETF we </w:t>
      </w:r>
      <w:r w:rsidR="00E15113" w:rsidRPr="002D2AA4">
        <w:rPr>
          <w:rFonts w:asciiTheme="majorHAnsi" w:hAnsiTheme="majorHAnsi" w:cstheme="majorHAnsi"/>
          <w:bCs w:val="0"/>
          <w:i/>
          <w:iCs/>
          <w:noProof/>
          <w:color w:val="000000"/>
          <w:sz w:val="22"/>
          <w:szCs w:val="22"/>
        </w:rPr>
        <w:t xml:space="preserve">offer a </w:t>
      </w:r>
      <w:r w:rsidR="004D20D5" w:rsidRPr="002D2AA4">
        <w:rPr>
          <w:rFonts w:asciiTheme="majorHAnsi" w:hAnsiTheme="majorHAnsi" w:cstheme="majorHAnsi"/>
          <w:bCs w:val="0"/>
          <w:i/>
          <w:iCs/>
          <w:noProof/>
          <w:color w:val="000000"/>
          <w:sz w:val="22"/>
          <w:szCs w:val="22"/>
        </w:rPr>
        <w:t>new building block</w:t>
      </w:r>
      <w:r w:rsidR="00780700" w:rsidRPr="002D2AA4">
        <w:rPr>
          <w:rFonts w:asciiTheme="majorHAnsi" w:hAnsiTheme="majorHAnsi" w:cstheme="majorHAnsi"/>
          <w:bCs w:val="0"/>
          <w:i/>
          <w:iCs/>
          <w:noProof/>
          <w:color w:val="000000"/>
          <w:sz w:val="22"/>
          <w:szCs w:val="22"/>
        </w:rPr>
        <w:t xml:space="preserve"> </w:t>
      </w:r>
      <w:r w:rsidR="006162EC" w:rsidRPr="002D2AA4">
        <w:rPr>
          <w:rFonts w:asciiTheme="majorHAnsi" w:hAnsiTheme="majorHAnsi" w:cstheme="majorHAnsi"/>
          <w:bCs w:val="0"/>
          <w:i/>
          <w:iCs/>
          <w:noProof/>
          <w:color w:val="000000"/>
          <w:sz w:val="22"/>
          <w:szCs w:val="22"/>
        </w:rPr>
        <w:t>which gives</w:t>
      </w:r>
      <w:r w:rsidR="00E15113" w:rsidRPr="002D2AA4">
        <w:rPr>
          <w:rFonts w:asciiTheme="majorHAnsi" w:hAnsiTheme="majorHAnsi" w:cstheme="majorHAnsi"/>
          <w:bCs w:val="0"/>
          <w:i/>
          <w:iCs/>
          <w:noProof/>
          <w:color w:val="000000"/>
          <w:sz w:val="22"/>
          <w:szCs w:val="22"/>
        </w:rPr>
        <w:t xml:space="preserve"> investors access </w:t>
      </w:r>
      <w:r w:rsidR="00141E86" w:rsidRPr="002D2AA4">
        <w:rPr>
          <w:rFonts w:asciiTheme="majorHAnsi" w:hAnsiTheme="majorHAnsi" w:cstheme="majorHAnsi"/>
          <w:bCs w:val="0"/>
          <w:i/>
          <w:iCs/>
          <w:noProof/>
          <w:color w:val="000000"/>
          <w:sz w:val="22"/>
          <w:szCs w:val="22"/>
        </w:rPr>
        <w:t>to corporate debt</w:t>
      </w:r>
      <w:r w:rsidR="00780700" w:rsidRPr="002D2AA4">
        <w:rPr>
          <w:rFonts w:asciiTheme="majorHAnsi" w:hAnsiTheme="majorHAnsi" w:cstheme="majorHAnsi"/>
          <w:bCs w:val="0"/>
          <w:i/>
          <w:iCs/>
          <w:noProof/>
          <w:color w:val="000000"/>
          <w:sz w:val="22"/>
          <w:szCs w:val="22"/>
        </w:rPr>
        <w:t xml:space="preserve"> from emerging </w:t>
      </w:r>
      <w:r w:rsidR="00141E86" w:rsidRPr="002D2AA4">
        <w:rPr>
          <w:rFonts w:asciiTheme="majorHAnsi" w:hAnsiTheme="majorHAnsi" w:cstheme="majorHAnsi"/>
          <w:bCs w:val="0"/>
          <w:i/>
          <w:iCs/>
          <w:noProof/>
          <w:color w:val="000000"/>
          <w:sz w:val="22"/>
          <w:szCs w:val="22"/>
        </w:rPr>
        <w:t xml:space="preserve">markets </w:t>
      </w:r>
      <w:r w:rsidR="00780700" w:rsidRPr="002D2AA4">
        <w:rPr>
          <w:rFonts w:asciiTheme="majorHAnsi" w:hAnsiTheme="majorHAnsi" w:cstheme="majorHAnsi"/>
          <w:bCs w:val="0"/>
          <w:i/>
          <w:iCs/>
          <w:noProof/>
          <w:color w:val="000000"/>
          <w:sz w:val="22"/>
          <w:szCs w:val="22"/>
        </w:rPr>
        <w:t>in a simple and efficient way</w:t>
      </w:r>
      <w:r w:rsidR="00081EE4" w:rsidRPr="002D2AA4">
        <w:rPr>
          <w:rFonts w:asciiTheme="majorHAnsi" w:hAnsiTheme="majorHAnsi" w:cstheme="majorHAnsi"/>
          <w:bCs w:val="0"/>
          <w:i/>
          <w:iCs/>
          <w:noProof/>
          <w:color w:val="000000"/>
          <w:sz w:val="22"/>
          <w:szCs w:val="22"/>
        </w:rPr>
        <w:t xml:space="preserve">, including </w:t>
      </w:r>
      <w:r w:rsidR="00141E86" w:rsidRPr="002D2AA4">
        <w:rPr>
          <w:rFonts w:asciiTheme="majorHAnsi" w:hAnsiTheme="majorHAnsi" w:cstheme="majorHAnsi"/>
          <w:bCs w:val="0"/>
          <w:i/>
          <w:iCs/>
          <w:noProof/>
          <w:color w:val="000000"/>
          <w:sz w:val="22"/>
          <w:szCs w:val="22"/>
        </w:rPr>
        <w:t>a</w:t>
      </w:r>
      <w:r w:rsidR="00081EE4" w:rsidRPr="002D2AA4">
        <w:rPr>
          <w:rFonts w:asciiTheme="majorHAnsi" w:hAnsiTheme="majorHAnsi" w:cstheme="majorHAnsi"/>
          <w:bCs w:val="0"/>
          <w:i/>
          <w:iCs/>
          <w:noProof/>
          <w:color w:val="000000"/>
          <w:sz w:val="22"/>
          <w:szCs w:val="22"/>
        </w:rPr>
        <w:t xml:space="preserve"> decarbonisation</w:t>
      </w:r>
      <w:r w:rsidR="00141E86" w:rsidRPr="002D2AA4">
        <w:rPr>
          <w:rFonts w:asciiTheme="majorHAnsi" w:hAnsiTheme="majorHAnsi" w:cstheme="majorHAnsi"/>
          <w:bCs w:val="0"/>
          <w:i/>
          <w:iCs/>
          <w:noProof/>
          <w:color w:val="000000"/>
          <w:sz w:val="22"/>
          <w:szCs w:val="22"/>
        </w:rPr>
        <w:t xml:space="preserve"> objective</w:t>
      </w:r>
      <w:r w:rsidR="00081EE4" w:rsidRPr="002D2AA4">
        <w:rPr>
          <w:rFonts w:asciiTheme="majorHAnsi" w:hAnsiTheme="majorHAnsi" w:cstheme="majorHAnsi"/>
          <w:bCs w:val="0"/>
          <w:i/>
          <w:iCs/>
          <w:noProof/>
          <w:color w:val="000000"/>
          <w:sz w:val="22"/>
          <w:szCs w:val="22"/>
        </w:rPr>
        <w:t xml:space="preserve">. This </w:t>
      </w:r>
      <w:r w:rsidR="00141E86" w:rsidRPr="002D2AA4">
        <w:rPr>
          <w:rFonts w:asciiTheme="majorHAnsi" w:hAnsiTheme="majorHAnsi" w:cstheme="majorHAnsi"/>
          <w:bCs w:val="0"/>
          <w:i/>
          <w:iCs/>
          <w:noProof/>
          <w:color w:val="000000"/>
          <w:sz w:val="22"/>
          <w:szCs w:val="22"/>
        </w:rPr>
        <w:t xml:space="preserve">exposure </w:t>
      </w:r>
      <w:r w:rsidR="005E3BDB" w:rsidRPr="002D2AA4">
        <w:rPr>
          <w:rFonts w:asciiTheme="majorHAnsi" w:hAnsiTheme="majorHAnsi" w:cstheme="majorHAnsi"/>
          <w:bCs w:val="0"/>
          <w:i/>
          <w:iCs/>
          <w:noProof/>
          <w:color w:val="000000"/>
          <w:sz w:val="22"/>
          <w:szCs w:val="22"/>
        </w:rPr>
        <w:t xml:space="preserve">looks </w:t>
      </w:r>
      <w:r w:rsidR="00081EE4" w:rsidRPr="002D2AA4">
        <w:rPr>
          <w:rFonts w:asciiTheme="majorHAnsi" w:hAnsiTheme="majorHAnsi" w:cstheme="majorHAnsi"/>
          <w:bCs w:val="0"/>
          <w:i/>
          <w:iCs/>
          <w:noProof/>
          <w:color w:val="000000"/>
          <w:sz w:val="22"/>
          <w:szCs w:val="22"/>
        </w:rPr>
        <w:t xml:space="preserve">particularly </w:t>
      </w:r>
      <w:r w:rsidR="005E3BDB" w:rsidRPr="002D2AA4">
        <w:rPr>
          <w:rFonts w:asciiTheme="majorHAnsi" w:hAnsiTheme="majorHAnsi" w:cstheme="majorHAnsi"/>
          <w:bCs w:val="0"/>
          <w:i/>
          <w:iCs/>
          <w:noProof/>
          <w:color w:val="000000"/>
          <w:sz w:val="22"/>
          <w:szCs w:val="22"/>
        </w:rPr>
        <w:t>relevant</w:t>
      </w:r>
      <w:r w:rsidR="00081EE4" w:rsidRPr="002D2AA4">
        <w:rPr>
          <w:rFonts w:asciiTheme="majorHAnsi" w:hAnsiTheme="majorHAnsi" w:cstheme="majorHAnsi"/>
          <w:bCs w:val="0"/>
          <w:i/>
          <w:iCs/>
          <w:noProof/>
          <w:color w:val="000000"/>
          <w:sz w:val="22"/>
          <w:szCs w:val="22"/>
        </w:rPr>
        <w:t xml:space="preserve"> in the context of a </w:t>
      </w:r>
      <w:r w:rsidR="00141E86" w:rsidRPr="002D2AA4">
        <w:rPr>
          <w:rFonts w:asciiTheme="majorHAnsi" w:hAnsiTheme="majorHAnsi" w:cstheme="majorHAnsi"/>
          <w:bCs w:val="0"/>
          <w:i/>
          <w:iCs/>
          <w:noProof/>
          <w:color w:val="000000"/>
          <w:sz w:val="22"/>
          <w:szCs w:val="22"/>
        </w:rPr>
        <w:t xml:space="preserve">year full of elections </w:t>
      </w:r>
      <w:r w:rsidR="00081EE4" w:rsidRPr="002D2AA4">
        <w:rPr>
          <w:rFonts w:asciiTheme="majorHAnsi" w:hAnsiTheme="majorHAnsi" w:cstheme="majorHAnsi"/>
          <w:bCs w:val="0"/>
          <w:i/>
          <w:iCs/>
          <w:noProof/>
          <w:color w:val="000000"/>
          <w:sz w:val="22"/>
          <w:szCs w:val="22"/>
        </w:rPr>
        <w:t>in th</w:t>
      </w:r>
      <w:r w:rsidR="00153271" w:rsidRPr="002D2AA4">
        <w:rPr>
          <w:rFonts w:asciiTheme="majorHAnsi" w:hAnsiTheme="majorHAnsi" w:cstheme="majorHAnsi"/>
          <w:bCs w:val="0"/>
          <w:i/>
          <w:iCs/>
          <w:noProof/>
          <w:color w:val="000000"/>
          <w:sz w:val="22"/>
          <w:szCs w:val="22"/>
        </w:rPr>
        <w:t>is</w:t>
      </w:r>
      <w:r w:rsidR="00081EE4" w:rsidRPr="002D2AA4">
        <w:rPr>
          <w:rFonts w:asciiTheme="majorHAnsi" w:hAnsiTheme="majorHAnsi" w:cstheme="majorHAnsi"/>
          <w:bCs w:val="0"/>
          <w:i/>
          <w:iCs/>
          <w:noProof/>
          <w:color w:val="000000"/>
          <w:sz w:val="22"/>
          <w:szCs w:val="22"/>
        </w:rPr>
        <w:t xml:space="preserve"> part of the globe</w:t>
      </w:r>
      <w:r>
        <w:rPr>
          <w:rFonts w:asciiTheme="majorHAnsi" w:hAnsiTheme="majorHAnsi" w:cstheme="majorHAnsi"/>
          <w:bCs w:val="0"/>
          <w:noProof/>
          <w:color w:val="000000"/>
          <w:sz w:val="22"/>
          <w:szCs w:val="22"/>
        </w:rPr>
        <w:t xml:space="preserve">”, </w:t>
      </w:r>
      <w:r w:rsidR="0030067A" w:rsidRPr="002D2AA4">
        <w:rPr>
          <w:rFonts w:asciiTheme="majorHAnsi" w:hAnsiTheme="majorHAnsi" w:cstheme="majorHAnsi"/>
          <w:bCs w:val="0"/>
          <w:noProof/>
          <w:color w:val="000000"/>
          <w:sz w:val="22"/>
          <w:szCs w:val="22"/>
        </w:rPr>
        <w:t>comment</w:t>
      </w:r>
      <w:r w:rsidR="00494E7D" w:rsidRPr="002D2AA4">
        <w:rPr>
          <w:rFonts w:asciiTheme="majorHAnsi" w:hAnsiTheme="majorHAnsi" w:cstheme="majorHAnsi"/>
          <w:bCs w:val="0"/>
          <w:noProof/>
          <w:color w:val="000000"/>
          <w:sz w:val="22"/>
          <w:szCs w:val="22"/>
        </w:rPr>
        <w:t>ed</w:t>
      </w:r>
      <w:r w:rsidR="0030067A" w:rsidRPr="002D2AA4">
        <w:rPr>
          <w:rFonts w:asciiTheme="majorHAnsi" w:hAnsiTheme="majorHAnsi" w:cstheme="majorHAnsi"/>
          <w:bCs w:val="0"/>
          <w:noProof/>
          <w:color w:val="000000"/>
          <w:sz w:val="22"/>
          <w:szCs w:val="22"/>
        </w:rPr>
        <w:t xml:space="preserve"> </w:t>
      </w:r>
      <w:r w:rsidR="0030067A" w:rsidRPr="002D2AA4">
        <w:rPr>
          <w:rFonts w:asciiTheme="majorHAnsi" w:hAnsiTheme="majorHAnsi" w:cstheme="majorHAnsi"/>
          <w:b/>
          <w:noProof/>
          <w:color w:val="000000"/>
          <w:sz w:val="22"/>
          <w:szCs w:val="22"/>
        </w:rPr>
        <w:t xml:space="preserve">Olivier Paquier, Global Head of ETF Sales </w:t>
      </w:r>
      <w:r>
        <w:rPr>
          <w:rFonts w:asciiTheme="majorHAnsi" w:hAnsiTheme="majorHAnsi" w:cstheme="majorHAnsi"/>
          <w:b/>
          <w:noProof/>
          <w:color w:val="000000"/>
          <w:sz w:val="22"/>
          <w:szCs w:val="22"/>
        </w:rPr>
        <w:t>at</w:t>
      </w:r>
      <w:r w:rsidR="0030067A" w:rsidRPr="002D2AA4">
        <w:rPr>
          <w:rFonts w:asciiTheme="majorHAnsi" w:hAnsiTheme="majorHAnsi" w:cstheme="majorHAnsi"/>
          <w:b/>
          <w:noProof/>
          <w:color w:val="000000"/>
          <w:sz w:val="22"/>
          <w:szCs w:val="22"/>
        </w:rPr>
        <w:t xml:space="preserve"> AXA IM</w:t>
      </w:r>
      <w:r w:rsidR="00141E86" w:rsidRPr="002D2AA4">
        <w:rPr>
          <w:rFonts w:asciiTheme="majorHAnsi" w:hAnsiTheme="majorHAnsi" w:cstheme="majorHAnsi"/>
          <w:b/>
          <w:noProof/>
          <w:color w:val="000000"/>
          <w:sz w:val="22"/>
          <w:szCs w:val="22"/>
        </w:rPr>
        <w:t>.</w:t>
      </w:r>
    </w:p>
    <w:p w14:paraId="53A5D1E7" w14:textId="77777777" w:rsidR="00B50235" w:rsidRPr="002D2AA4" w:rsidRDefault="00B50235" w:rsidP="00210457">
      <w:pPr>
        <w:jc w:val="both"/>
        <w:rPr>
          <w:rFonts w:asciiTheme="majorHAnsi" w:hAnsiTheme="majorHAnsi" w:cstheme="majorHAnsi"/>
          <w:b/>
          <w:noProof/>
          <w:color w:val="000000"/>
          <w:sz w:val="22"/>
          <w:szCs w:val="22"/>
        </w:rPr>
      </w:pPr>
    </w:p>
    <w:p w14:paraId="0279EAB3" w14:textId="13FE496D" w:rsidR="00494E7D" w:rsidRPr="002D2AA4" w:rsidRDefault="00494E7D" w:rsidP="00210457">
      <w:pPr>
        <w:jc w:val="both"/>
        <w:rPr>
          <w:rFonts w:asciiTheme="majorHAnsi" w:hAnsiTheme="majorHAnsi" w:cstheme="majorHAnsi"/>
          <w:bCs w:val="0"/>
          <w:noProof/>
          <w:color w:val="000000"/>
          <w:sz w:val="22"/>
          <w:szCs w:val="22"/>
        </w:rPr>
      </w:pPr>
      <w:r w:rsidRPr="002D2AA4">
        <w:rPr>
          <w:rFonts w:asciiTheme="majorHAnsi" w:hAnsiTheme="majorHAnsi" w:cstheme="majorHAnsi"/>
          <w:bCs w:val="0"/>
          <w:noProof/>
          <w:color w:val="000000"/>
          <w:sz w:val="22"/>
          <w:szCs w:val="22"/>
        </w:rPr>
        <w:t xml:space="preserve">This ETF is managed in a physical manner and is classified as “Article 8” under the Sustainable Finance Disclosure Regulation (SFDR). </w:t>
      </w:r>
      <w:r w:rsidR="00B60E69" w:rsidRPr="002D2AA4">
        <w:rPr>
          <w:rFonts w:asciiTheme="majorHAnsi" w:hAnsiTheme="majorHAnsi" w:cstheme="majorHAnsi"/>
          <w:bCs w:val="0"/>
          <w:noProof/>
          <w:color w:val="000000"/>
          <w:sz w:val="22"/>
          <w:szCs w:val="22"/>
        </w:rPr>
        <w:t xml:space="preserve">The Total Expense Ratio (TER) </w:t>
      </w:r>
      <w:r w:rsidR="00B16995" w:rsidRPr="002D2AA4">
        <w:rPr>
          <w:rFonts w:asciiTheme="majorHAnsi" w:hAnsiTheme="majorHAnsi" w:cstheme="majorHAnsi"/>
          <w:bCs w:val="0"/>
          <w:noProof/>
          <w:color w:val="000000"/>
          <w:sz w:val="22"/>
          <w:szCs w:val="22"/>
        </w:rPr>
        <w:t>will reach</w:t>
      </w:r>
      <w:r w:rsidR="00663B1D" w:rsidRPr="002D2AA4">
        <w:rPr>
          <w:rFonts w:asciiTheme="majorHAnsi" w:hAnsiTheme="majorHAnsi" w:cstheme="majorHAnsi"/>
          <w:bCs w:val="0"/>
          <w:noProof/>
          <w:color w:val="000000"/>
          <w:sz w:val="22"/>
          <w:szCs w:val="22"/>
        </w:rPr>
        <w:t xml:space="preserve"> 0,34%</w:t>
      </w:r>
      <w:r w:rsidR="00CD37DF" w:rsidRPr="002D2AA4">
        <w:rPr>
          <w:rStyle w:val="FootnoteReference"/>
          <w:rFonts w:asciiTheme="majorHAnsi" w:hAnsiTheme="majorHAnsi" w:cstheme="majorHAnsi"/>
          <w:bCs w:val="0"/>
          <w:noProof/>
          <w:color w:val="000000"/>
          <w:sz w:val="22"/>
          <w:szCs w:val="22"/>
        </w:rPr>
        <w:footnoteReference w:id="3"/>
      </w:r>
      <w:r w:rsidR="00663B1D" w:rsidRPr="002D2AA4">
        <w:rPr>
          <w:rFonts w:asciiTheme="majorHAnsi" w:hAnsiTheme="majorHAnsi" w:cstheme="majorHAnsi"/>
          <w:bCs w:val="0"/>
          <w:noProof/>
          <w:color w:val="000000"/>
          <w:sz w:val="22"/>
          <w:szCs w:val="22"/>
        </w:rPr>
        <w:t>.</w:t>
      </w:r>
    </w:p>
    <w:p w14:paraId="30DF5F8E" w14:textId="77777777" w:rsidR="00663B1D" w:rsidRPr="002D2AA4" w:rsidRDefault="00663B1D" w:rsidP="00210457">
      <w:pPr>
        <w:jc w:val="both"/>
        <w:rPr>
          <w:rFonts w:asciiTheme="majorHAnsi" w:hAnsiTheme="majorHAnsi" w:cstheme="majorHAnsi"/>
          <w:bCs w:val="0"/>
          <w:noProof/>
          <w:color w:val="000000"/>
          <w:sz w:val="22"/>
          <w:szCs w:val="22"/>
        </w:rPr>
      </w:pPr>
    </w:p>
    <w:p w14:paraId="2C9B0D10" w14:textId="12EA7D86" w:rsidR="00663B1D" w:rsidRPr="002D2AA4" w:rsidRDefault="00663B1D" w:rsidP="00210457">
      <w:pPr>
        <w:jc w:val="both"/>
        <w:rPr>
          <w:rFonts w:asciiTheme="majorHAnsi" w:hAnsiTheme="majorHAnsi" w:cstheme="majorHAnsi"/>
          <w:bCs w:val="0"/>
          <w:noProof/>
          <w:color w:val="000000"/>
          <w:sz w:val="22"/>
          <w:szCs w:val="22"/>
        </w:rPr>
      </w:pPr>
      <w:r w:rsidRPr="002D2AA4">
        <w:rPr>
          <w:rFonts w:asciiTheme="majorHAnsi" w:hAnsiTheme="majorHAnsi" w:cstheme="majorHAnsi"/>
          <w:bCs w:val="0"/>
          <w:noProof/>
          <w:color w:val="000000"/>
          <w:sz w:val="22"/>
          <w:szCs w:val="22"/>
        </w:rPr>
        <w:lastRenderedPageBreak/>
        <w:t>AXA IM Emerging Markets Credit PAB UCITS ETF (ticker : AICU</w:t>
      </w:r>
      <w:r w:rsidR="00441BEC">
        <w:rPr>
          <w:rFonts w:asciiTheme="majorHAnsi" w:hAnsiTheme="majorHAnsi" w:cstheme="majorHAnsi"/>
          <w:bCs w:val="0"/>
          <w:noProof/>
          <w:color w:val="000000"/>
          <w:sz w:val="22"/>
          <w:szCs w:val="22"/>
        </w:rPr>
        <w:t xml:space="preserve"> and AQDU</w:t>
      </w:r>
      <w:r w:rsidRPr="002D2AA4">
        <w:rPr>
          <w:rFonts w:asciiTheme="majorHAnsi" w:hAnsiTheme="majorHAnsi" w:cstheme="majorHAnsi"/>
          <w:bCs w:val="0"/>
          <w:noProof/>
          <w:color w:val="000000"/>
          <w:sz w:val="22"/>
          <w:szCs w:val="22"/>
        </w:rPr>
        <w:t xml:space="preserve">) </w:t>
      </w:r>
      <w:r w:rsidR="00F90530" w:rsidRPr="002D2AA4">
        <w:rPr>
          <w:rFonts w:asciiTheme="majorHAnsi" w:hAnsiTheme="majorHAnsi" w:cstheme="majorHAnsi"/>
          <w:bCs w:val="0"/>
          <w:noProof/>
          <w:color w:val="000000"/>
          <w:sz w:val="22"/>
          <w:szCs w:val="22"/>
        </w:rPr>
        <w:t>is available in</w:t>
      </w:r>
      <w:r w:rsidRPr="002D2AA4">
        <w:rPr>
          <w:rFonts w:asciiTheme="majorHAnsi" w:hAnsiTheme="majorHAnsi" w:cstheme="majorHAnsi"/>
          <w:bCs w:val="0"/>
          <w:noProof/>
          <w:color w:val="000000"/>
          <w:sz w:val="22"/>
          <w:szCs w:val="22"/>
        </w:rPr>
        <w:t xml:space="preserve"> USD </w:t>
      </w:r>
      <w:r w:rsidR="009F5A02">
        <w:rPr>
          <w:rFonts w:asciiTheme="majorHAnsi" w:hAnsiTheme="majorHAnsi" w:cstheme="majorHAnsi"/>
          <w:bCs w:val="0"/>
          <w:noProof/>
          <w:color w:val="000000"/>
          <w:sz w:val="22"/>
          <w:szCs w:val="22"/>
        </w:rPr>
        <w:t xml:space="preserve">and EUR </w:t>
      </w:r>
      <w:r w:rsidR="00F90530" w:rsidRPr="002D2AA4">
        <w:rPr>
          <w:rFonts w:asciiTheme="majorHAnsi" w:hAnsiTheme="majorHAnsi" w:cstheme="majorHAnsi"/>
          <w:bCs w:val="0"/>
          <w:noProof/>
          <w:color w:val="000000"/>
          <w:sz w:val="22"/>
          <w:szCs w:val="22"/>
        </w:rPr>
        <w:t>on</w:t>
      </w:r>
      <w:r w:rsidRPr="002D2AA4">
        <w:rPr>
          <w:rFonts w:asciiTheme="majorHAnsi" w:hAnsiTheme="majorHAnsi" w:cstheme="majorHAnsi"/>
          <w:bCs w:val="0"/>
          <w:noProof/>
          <w:color w:val="000000"/>
          <w:sz w:val="22"/>
          <w:szCs w:val="22"/>
        </w:rPr>
        <w:t xml:space="preserve"> Deutsche Boerse – XETRA </w:t>
      </w:r>
      <w:r w:rsidR="00B16995" w:rsidRPr="002D2AA4">
        <w:rPr>
          <w:rFonts w:asciiTheme="majorHAnsi" w:hAnsiTheme="majorHAnsi" w:cstheme="majorHAnsi"/>
          <w:bCs w:val="0"/>
          <w:noProof/>
          <w:color w:val="000000"/>
          <w:sz w:val="22"/>
          <w:szCs w:val="22"/>
        </w:rPr>
        <w:t>and will be listed on</w:t>
      </w:r>
      <w:r w:rsidRPr="002D2AA4">
        <w:rPr>
          <w:rFonts w:asciiTheme="majorHAnsi" w:hAnsiTheme="majorHAnsi" w:cstheme="majorHAnsi"/>
          <w:bCs w:val="0"/>
          <w:noProof/>
          <w:color w:val="000000"/>
          <w:sz w:val="22"/>
          <w:szCs w:val="22"/>
        </w:rPr>
        <w:t xml:space="preserve"> Borsa Italiana </w:t>
      </w:r>
      <w:r w:rsidR="00B16995" w:rsidRPr="002D2AA4">
        <w:rPr>
          <w:rFonts w:asciiTheme="majorHAnsi" w:hAnsiTheme="majorHAnsi" w:cstheme="majorHAnsi"/>
          <w:bCs w:val="0"/>
          <w:noProof/>
          <w:color w:val="000000"/>
          <w:sz w:val="22"/>
          <w:szCs w:val="22"/>
        </w:rPr>
        <w:t>and</w:t>
      </w:r>
      <w:r w:rsidRPr="002D2AA4">
        <w:rPr>
          <w:rFonts w:asciiTheme="majorHAnsi" w:hAnsiTheme="majorHAnsi" w:cstheme="majorHAnsi"/>
          <w:bCs w:val="0"/>
          <w:noProof/>
          <w:color w:val="000000"/>
          <w:sz w:val="22"/>
          <w:szCs w:val="22"/>
        </w:rPr>
        <w:t xml:space="preserve"> SIX Swiss Exchange</w:t>
      </w:r>
      <w:r w:rsidR="00B16995" w:rsidRPr="002D2AA4">
        <w:rPr>
          <w:rFonts w:asciiTheme="majorHAnsi" w:hAnsiTheme="majorHAnsi" w:cstheme="majorHAnsi"/>
          <w:bCs w:val="0"/>
          <w:noProof/>
          <w:color w:val="000000"/>
          <w:sz w:val="22"/>
          <w:szCs w:val="22"/>
        </w:rPr>
        <w:t xml:space="preserve"> soon</w:t>
      </w:r>
      <w:r w:rsidRPr="002D2AA4">
        <w:rPr>
          <w:rFonts w:asciiTheme="majorHAnsi" w:hAnsiTheme="majorHAnsi" w:cstheme="majorHAnsi"/>
          <w:bCs w:val="0"/>
          <w:noProof/>
          <w:color w:val="000000"/>
          <w:sz w:val="22"/>
          <w:szCs w:val="22"/>
        </w:rPr>
        <w:t>.</w:t>
      </w:r>
    </w:p>
    <w:p w14:paraId="7842F76E" w14:textId="77777777" w:rsidR="00663B1D" w:rsidRPr="002D2AA4" w:rsidRDefault="00663B1D" w:rsidP="00210457">
      <w:pPr>
        <w:jc w:val="both"/>
        <w:rPr>
          <w:rFonts w:asciiTheme="majorHAnsi" w:hAnsiTheme="majorHAnsi" w:cstheme="majorHAnsi"/>
          <w:bCs w:val="0"/>
          <w:noProof/>
          <w:color w:val="000000"/>
          <w:sz w:val="22"/>
          <w:szCs w:val="22"/>
        </w:rPr>
      </w:pPr>
    </w:p>
    <w:p w14:paraId="673B2652" w14:textId="776FFCBD" w:rsidR="00B16995" w:rsidRPr="002D2AA4" w:rsidRDefault="00B16995" w:rsidP="00B37F3A">
      <w:pPr>
        <w:jc w:val="both"/>
        <w:rPr>
          <w:rFonts w:asciiTheme="majorHAnsi" w:hAnsiTheme="majorHAnsi" w:cstheme="majorHAnsi"/>
          <w:bCs w:val="0"/>
          <w:noProof/>
          <w:color w:val="000000"/>
          <w:sz w:val="22"/>
          <w:szCs w:val="22"/>
        </w:rPr>
      </w:pPr>
      <w:r w:rsidRPr="002D2AA4">
        <w:rPr>
          <w:rFonts w:asciiTheme="majorHAnsi" w:hAnsiTheme="majorHAnsi" w:cstheme="majorHAnsi"/>
          <w:bCs w:val="0"/>
          <w:noProof/>
          <w:color w:val="000000"/>
          <w:sz w:val="22"/>
          <w:szCs w:val="22"/>
        </w:rPr>
        <w:t>At</w:t>
      </w:r>
      <w:r w:rsidR="006F7DA9" w:rsidRPr="002D2AA4">
        <w:rPr>
          <w:rFonts w:asciiTheme="majorHAnsi" w:hAnsiTheme="majorHAnsi" w:cstheme="majorHAnsi"/>
          <w:bCs w:val="0"/>
          <w:noProof/>
          <w:color w:val="000000"/>
          <w:sz w:val="22"/>
          <w:szCs w:val="22"/>
        </w:rPr>
        <w:t xml:space="preserve"> </w:t>
      </w:r>
      <w:r w:rsidRPr="002D2AA4">
        <w:rPr>
          <w:rFonts w:asciiTheme="majorHAnsi" w:hAnsiTheme="majorHAnsi" w:cstheme="majorHAnsi"/>
          <w:bCs w:val="0"/>
          <w:noProof/>
          <w:color w:val="000000"/>
          <w:sz w:val="22"/>
          <w:szCs w:val="22"/>
        </w:rPr>
        <w:t>launch, the ETF will be available for the</w:t>
      </w:r>
      <w:r w:rsidR="006F7DA9" w:rsidRPr="002D2AA4">
        <w:rPr>
          <w:rFonts w:asciiTheme="majorHAnsi" w:hAnsiTheme="majorHAnsi" w:cstheme="majorHAnsi"/>
          <w:bCs w:val="0"/>
          <w:noProof/>
          <w:color w:val="000000"/>
          <w:sz w:val="22"/>
          <w:szCs w:val="22"/>
        </w:rPr>
        <w:t xml:space="preserve"> </w:t>
      </w:r>
      <w:r w:rsidRPr="002D2AA4">
        <w:rPr>
          <w:rFonts w:asciiTheme="majorHAnsi" w:hAnsiTheme="majorHAnsi" w:cstheme="majorHAnsi"/>
          <w:bCs w:val="0"/>
          <w:noProof/>
          <w:color w:val="000000"/>
          <w:sz w:val="22"/>
          <w:szCs w:val="22"/>
        </w:rPr>
        <w:t xml:space="preserve">institutional </w:t>
      </w:r>
      <w:r w:rsidR="006F7DA9" w:rsidRPr="002D2AA4">
        <w:rPr>
          <w:rFonts w:asciiTheme="majorHAnsi" w:hAnsiTheme="majorHAnsi" w:cstheme="majorHAnsi"/>
          <w:bCs w:val="0"/>
          <w:noProof/>
          <w:color w:val="000000"/>
          <w:sz w:val="22"/>
          <w:szCs w:val="22"/>
        </w:rPr>
        <w:t xml:space="preserve">as well as retail </w:t>
      </w:r>
      <w:r w:rsidRPr="002D2AA4">
        <w:rPr>
          <w:rFonts w:asciiTheme="majorHAnsi" w:hAnsiTheme="majorHAnsi" w:cstheme="majorHAnsi"/>
          <w:bCs w:val="0"/>
          <w:noProof/>
          <w:color w:val="000000"/>
          <w:sz w:val="22"/>
          <w:szCs w:val="22"/>
        </w:rPr>
        <w:t>investors</w:t>
      </w:r>
      <w:r w:rsidR="006F7DA9" w:rsidRPr="002D2AA4">
        <w:rPr>
          <w:rFonts w:asciiTheme="majorHAnsi" w:hAnsiTheme="majorHAnsi" w:cstheme="majorHAnsi"/>
          <w:bCs w:val="0"/>
          <w:noProof/>
          <w:color w:val="000000"/>
          <w:sz w:val="22"/>
          <w:szCs w:val="22"/>
        </w:rPr>
        <w:t xml:space="preserve"> in Austria, Germany, Denmark, Finland, France, Italy (limited to institutional investors until its listing in </w:t>
      </w:r>
      <w:r w:rsidR="00E00871" w:rsidRPr="002D2AA4">
        <w:rPr>
          <w:rFonts w:asciiTheme="majorHAnsi" w:hAnsiTheme="majorHAnsi" w:cstheme="majorHAnsi"/>
          <w:bCs w:val="0"/>
          <w:noProof/>
          <w:color w:val="000000"/>
          <w:sz w:val="22"/>
          <w:szCs w:val="22"/>
        </w:rPr>
        <w:t>Italy),</w:t>
      </w:r>
      <w:r w:rsidR="00E00871" w:rsidRPr="002D2AA4">
        <w:t xml:space="preserve"> </w:t>
      </w:r>
      <w:r w:rsidR="00E00871" w:rsidRPr="002D2AA4">
        <w:rPr>
          <w:rFonts w:asciiTheme="majorHAnsi" w:hAnsiTheme="majorHAnsi" w:cstheme="majorHAnsi"/>
          <w:bCs w:val="0"/>
          <w:noProof/>
          <w:color w:val="000000"/>
          <w:sz w:val="22"/>
          <w:szCs w:val="22"/>
        </w:rPr>
        <w:t>Liechtenstein, Luxembourg, Netherlands, Norway, Spain and Sweden.</w:t>
      </w:r>
    </w:p>
    <w:p w14:paraId="4AC3512F" w14:textId="77777777" w:rsidR="00CD37DF" w:rsidRPr="002D2AA4" w:rsidRDefault="00CD37DF" w:rsidP="00B50235">
      <w:pPr>
        <w:pStyle w:val="Byline"/>
        <w:spacing w:after="0"/>
        <w:contextualSpacing/>
        <w:rPr>
          <w:b w:val="0"/>
          <w:color w:val="auto"/>
        </w:rPr>
      </w:pPr>
    </w:p>
    <w:p w14:paraId="2F81517C" w14:textId="2F1268E4" w:rsidR="00A765E6" w:rsidRDefault="00B50235" w:rsidP="00A765E6">
      <w:pPr>
        <w:pStyle w:val="Byline"/>
        <w:spacing w:after="0"/>
        <w:contextualSpacing/>
        <w:jc w:val="center"/>
        <w:rPr>
          <w:color w:val="auto"/>
        </w:rPr>
      </w:pPr>
      <w:r w:rsidRPr="002D2AA4">
        <w:rPr>
          <w:color w:val="auto"/>
        </w:rPr>
        <w:t>-</w:t>
      </w:r>
      <w:r w:rsidR="00A765E6" w:rsidRPr="002D2AA4">
        <w:rPr>
          <w:color w:val="auto"/>
        </w:rPr>
        <w:t xml:space="preserve"> END</w:t>
      </w:r>
      <w:r w:rsidR="00686975">
        <w:rPr>
          <w:color w:val="auto"/>
        </w:rPr>
        <w:t>S</w:t>
      </w:r>
      <w:r w:rsidR="00A765E6" w:rsidRPr="002D2AA4">
        <w:rPr>
          <w:color w:val="auto"/>
        </w:rPr>
        <w:t xml:space="preserve"> </w:t>
      </w:r>
      <w:r w:rsidR="00686975">
        <w:rPr>
          <w:color w:val="auto"/>
        </w:rPr>
        <w:t>-</w:t>
      </w:r>
    </w:p>
    <w:p w14:paraId="3AA47C36" w14:textId="77777777" w:rsidR="00686975" w:rsidRPr="002D2AA4" w:rsidRDefault="00686975" w:rsidP="00A765E6">
      <w:pPr>
        <w:pStyle w:val="Byline"/>
        <w:spacing w:after="0"/>
        <w:contextualSpacing/>
        <w:jc w:val="center"/>
        <w:rPr>
          <w:color w:val="auto"/>
        </w:rPr>
      </w:pPr>
    </w:p>
    <w:bookmarkEnd w:id="1"/>
    <w:bookmarkEnd w:id="2"/>
    <w:bookmarkEnd w:id="3"/>
    <w:bookmarkEnd w:id="4"/>
    <w:p w14:paraId="0EEA369B" w14:textId="298B4063" w:rsidR="00686975" w:rsidRPr="00686975" w:rsidRDefault="00686975" w:rsidP="00686975">
      <w:pPr>
        <w:pStyle w:val="currenttext"/>
        <w:spacing w:line="360" w:lineRule="auto"/>
        <w:rPr>
          <w:rFonts w:asciiTheme="minorHAnsi" w:hAnsiTheme="minorHAnsi"/>
          <w:b/>
          <w:color w:val="027180"/>
          <w:szCs w:val="18"/>
          <w:lang w:val="en-GB"/>
        </w:rPr>
      </w:pPr>
      <w:r w:rsidRPr="00686975">
        <w:rPr>
          <w:rFonts w:asciiTheme="minorHAnsi" w:hAnsiTheme="minorHAnsi"/>
          <w:b/>
          <w:color w:val="027180"/>
          <w:szCs w:val="18"/>
          <w:lang w:val="en-GB"/>
        </w:rPr>
        <w:t>Notes to Editors</w:t>
      </w:r>
    </w:p>
    <w:p w14:paraId="04CA7E1B" w14:textId="03B9EDF3" w:rsidR="00686975" w:rsidRPr="00686975" w:rsidRDefault="00686975" w:rsidP="00686975">
      <w:pPr>
        <w:pStyle w:val="currenttext"/>
        <w:spacing w:line="360" w:lineRule="auto"/>
        <w:rPr>
          <w:rFonts w:asciiTheme="minorHAnsi" w:hAnsiTheme="minorHAnsi"/>
          <w:b/>
          <w:color w:val="027180"/>
          <w:szCs w:val="18"/>
          <w:lang w:val="en-GB"/>
        </w:rPr>
      </w:pPr>
      <w:r w:rsidRPr="00686975">
        <w:rPr>
          <w:rFonts w:asciiTheme="minorHAnsi" w:hAnsiTheme="minorHAnsi"/>
          <w:b/>
          <w:color w:val="027180"/>
          <w:szCs w:val="18"/>
          <w:lang w:val="en-GB"/>
        </w:rPr>
        <w:t>Risks</w:t>
      </w:r>
    </w:p>
    <w:p w14:paraId="6754771F" w14:textId="77777777" w:rsidR="00686975" w:rsidRPr="00686975" w:rsidRDefault="00686975" w:rsidP="00686975">
      <w:pPr>
        <w:jc w:val="both"/>
        <w:rPr>
          <w:rFonts w:asciiTheme="minorHAnsi" w:hAnsiTheme="minorHAnsi" w:cstheme="minorHAnsi"/>
          <w:b/>
          <w:noProof/>
          <w:color w:val="000000"/>
        </w:rPr>
      </w:pPr>
      <w:r w:rsidRPr="00686975">
        <w:rPr>
          <w:rFonts w:asciiTheme="minorHAnsi" w:hAnsiTheme="minorHAnsi" w:cstheme="minorHAnsi"/>
          <w:b/>
          <w:noProof/>
          <w:color w:val="000000"/>
        </w:rPr>
        <w:t xml:space="preserve">Index tracking risk: </w:t>
      </w:r>
      <w:r w:rsidRPr="00686975">
        <w:rPr>
          <w:rFonts w:asciiTheme="minorHAnsi" w:hAnsiTheme="minorHAnsi" w:cstheme="minorHAnsi"/>
          <w:bCs w:val="0"/>
          <w:noProof/>
          <w:color w:val="000000"/>
        </w:rPr>
        <w:t>there is no guarantee that the Fund will achieve perfect replication of its market index, and it may be subject to tracking error risk, i.e. the risk that its returns do not exactly follow those of its index at all times</w:t>
      </w:r>
    </w:p>
    <w:p w14:paraId="2E6ACBA3" w14:textId="77777777" w:rsidR="00686975" w:rsidRPr="00686975" w:rsidRDefault="00686975" w:rsidP="00686975">
      <w:pPr>
        <w:jc w:val="both"/>
        <w:rPr>
          <w:rFonts w:asciiTheme="minorHAnsi" w:hAnsiTheme="minorHAnsi" w:cstheme="minorHAnsi"/>
          <w:b/>
          <w:noProof/>
          <w:color w:val="000000"/>
        </w:rPr>
      </w:pPr>
      <w:r w:rsidRPr="00686975">
        <w:rPr>
          <w:rFonts w:asciiTheme="minorHAnsi" w:hAnsiTheme="minorHAnsi" w:cstheme="minorHAnsi"/>
          <w:b/>
          <w:noProof/>
          <w:color w:val="000000"/>
        </w:rPr>
        <w:t xml:space="preserve">Risk of loss: </w:t>
      </w:r>
      <w:r w:rsidRPr="00686975">
        <w:rPr>
          <w:rFonts w:asciiTheme="minorHAnsi" w:hAnsiTheme="minorHAnsi" w:cstheme="minorHAnsi"/>
          <w:bCs w:val="0"/>
          <w:noProof/>
          <w:color w:val="000000"/>
        </w:rPr>
        <w:t>Investors may lose part of or entirely the invested capital depending on market conditions.</w:t>
      </w:r>
    </w:p>
    <w:p w14:paraId="5212EADB" w14:textId="77777777" w:rsidR="00686975" w:rsidRPr="00686975" w:rsidRDefault="00686975" w:rsidP="00686975">
      <w:pPr>
        <w:jc w:val="both"/>
        <w:rPr>
          <w:rFonts w:asciiTheme="minorHAnsi" w:hAnsiTheme="minorHAnsi" w:cstheme="minorHAnsi"/>
          <w:bCs w:val="0"/>
          <w:noProof/>
          <w:color w:val="000000"/>
        </w:rPr>
      </w:pPr>
      <w:r w:rsidRPr="00686975">
        <w:rPr>
          <w:rFonts w:asciiTheme="minorHAnsi" w:hAnsiTheme="minorHAnsi" w:cstheme="minorHAnsi"/>
          <w:b/>
          <w:noProof/>
          <w:color w:val="000000"/>
        </w:rPr>
        <w:t>Interest rate risk:</w:t>
      </w:r>
      <w:r w:rsidRPr="00686975">
        <w:rPr>
          <w:rFonts w:asciiTheme="minorHAnsi" w:hAnsiTheme="minorHAnsi" w:cstheme="minorHAnsi"/>
          <w:bCs w:val="0"/>
          <w:noProof/>
          <w:color w:val="000000"/>
        </w:rPr>
        <w:t xml:space="preserve"> This corresponds to the risk of depreciation in rate-based instruments over either the short or medium term stemming from interest rate variations. For purposes of illustration, the price of a fixed-rate bond tends to decrease as interest rates increase. The Fund is particularly exposed to bonds and other debt securities; in the event of a rise in interest rates, the value of assets invested at a fixed rate may fall.</w:t>
      </w:r>
    </w:p>
    <w:p w14:paraId="3AC8A7B4" w14:textId="77777777" w:rsidR="00686975" w:rsidRPr="00686975" w:rsidRDefault="00686975" w:rsidP="00686975">
      <w:pPr>
        <w:jc w:val="both"/>
        <w:rPr>
          <w:rFonts w:asciiTheme="minorHAnsi" w:hAnsiTheme="minorHAnsi" w:cstheme="minorHAnsi"/>
          <w:bCs w:val="0"/>
          <w:noProof/>
          <w:color w:val="000000"/>
        </w:rPr>
      </w:pPr>
      <w:r w:rsidRPr="00686975">
        <w:rPr>
          <w:rFonts w:asciiTheme="minorHAnsi" w:hAnsiTheme="minorHAnsi" w:cstheme="minorHAnsi"/>
          <w:b/>
          <w:noProof/>
          <w:color w:val="000000"/>
        </w:rPr>
        <w:t>Credit risk:</w:t>
      </w:r>
      <w:r w:rsidRPr="00686975">
        <w:rPr>
          <w:rFonts w:asciiTheme="minorHAnsi" w:hAnsiTheme="minorHAnsi" w:cstheme="minorHAnsi"/>
          <w:bCs w:val="0"/>
          <w:noProof/>
          <w:color w:val="000000"/>
        </w:rPr>
        <w:t xml:space="preserve"> In the event of default or deterioration of the quality of private bond issuers (for example, a reduction in rating), the value of debt securities in which the Fund is invested may fall.  In such case, the Net Asset Value of the Fund may fall.</w:t>
      </w:r>
    </w:p>
    <w:p w14:paraId="3ED67D8E" w14:textId="77777777" w:rsidR="00686975" w:rsidRPr="00686975" w:rsidRDefault="00686975" w:rsidP="00686975">
      <w:pPr>
        <w:jc w:val="both"/>
        <w:rPr>
          <w:rFonts w:asciiTheme="minorHAnsi" w:hAnsiTheme="minorHAnsi" w:cstheme="minorHAnsi"/>
          <w:bCs w:val="0"/>
          <w:color w:val="000000"/>
        </w:rPr>
      </w:pPr>
      <w:r w:rsidRPr="00686975">
        <w:rPr>
          <w:rFonts w:asciiTheme="minorHAnsi" w:hAnsiTheme="minorHAnsi" w:cstheme="minorHAnsi"/>
          <w:b/>
          <w:color w:val="000000"/>
        </w:rPr>
        <w:t>Emerging markets risk:</w:t>
      </w:r>
      <w:r w:rsidRPr="00686975">
        <w:rPr>
          <w:rFonts w:asciiTheme="minorHAnsi" w:hAnsiTheme="minorHAnsi" w:cstheme="minorHAnsi"/>
          <w:bCs w:val="0"/>
          <w:color w:val="000000"/>
        </w:rPr>
        <w:t xml:space="preserve"> The ETF invests in emerging markets securities, which may be subject to additional risk factors such as political and economic factors, counterparty and liquidity risks, and legal risks.</w:t>
      </w:r>
    </w:p>
    <w:p w14:paraId="459B9045" w14:textId="77777777" w:rsidR="00686975" w:rsidRPr="00686975" w:rsidRDefault="00686975" w:rsidP="00686975">
      <w:pPr>
        <w:jc w:val="both"/>
        <w:rPr>
          <w:rFonts w:asciiTheme="minorHAnsi" w:hAnsiTheme="minorHAnsi" w:cstheme="minorHAnsi"/>
          <w:bCs w:val="0"/>
          <w:color w:val="000000"/>
        </w:rPr>
      </w:pPr>
    </w:p>
    <w:p w14:paraId="7BFA7F2E" w14:textId="77777777" w:rsidR="00686975" w:rsidRPr="00686975" w:rsidRDefault="00686975" w:rsidP="00686975">
      <w:pPr>
        <w:jc w:val="both"/>
        <w:rPr>
          <w:rFonts w:asciiTheme="minorHAnsi" w:hAnsiTheme="minorHAnsi" w:cstheme="minorHAnsi"/>
          <w:bCs w:val="0"/>
          <w:color w:val="000000"/>
        </w:rPr>
      </w:pPr>
      <w:bookmarkStart w:id="5" w:name="_Hlk177733059"/>
      <w:r w:rsidRPr="00686975">
        <w:rPr>
          <w:rFonts w:asciiTheme="minorHAnsi" w:hAnsiTheme="minorHAnsi" w:cstheme="minorHAnsi"/>
          <w:bCs w:val="0"/>
          <w:color w:val="000000"/>
        </w:rPr>
        <w:t>The market price of an index ETF may not be identical to its net asset value at all times. The index ETF aims to replicate the performance of the index, and its trading price may differ from its net asset value and that of the index.</w:t>
      </w:r>
    </w:p>
    <w:bookmarkEnd w:id="5"/>
    <w:p w14:paraId="53EDF8ED" w14:textId="77777777" w:rsidR="00686975" w:rsidRDefault="00686975" w:rsidP="00686975">
      <w:pPr>
        <w:jc w:val="both"/>
        <w:rPr>
          <w:rFonts w:asciiTheme="minorHAnsi" w:hAnsiTheme="minorHAnsi" w:cstheme="minorHAnsi"/>
          <w:bCs w:val="0"/>
          <w:color w:val="000000"/>
        </w:rPr>
      </w:pPr>
    </w:p>
    <w:p w14:paraId="72F63480" w14:textId="665B66CD" w:rsidR="003D36D6" w:rsidRPr="007F7952" w:rsidRDefault="003D36D6" w:rsidP="00686975">
      <w:pPr>
        <w:jc w:val="both"/>
        <w:rPr>
          <w:rFonts w:asciiTheme="minorHAnsi" w:hAnsiTheme="minorHAnsi" w:cstheme="minorHAnsi"/>
          <w:bCs w:val="0"/>
        </w:rPr>
      </w:pPr>
      <w:r w:rsidRPr="007F7952">
        <w:rPr>
          <w:rFonts w:asciiTheme="minorHAnsi" w:hAnsiTheme="minorHAnsi" w:cstheme="minorHAnsi"/>
          <w:bCs w:val="0"/>
        </w:rPr>
        <w:t>The fund share class is USD denominated and is subject to exchange rate fluctuations.</w:t>
      </w:r>
    </w:p>
    <w:p w14:paraId="0C434479" w14:textId="77777777" w:rsidR="003D36D6" w:rsidRPr="00686975" w:rsidRDefault="003D36D6" w:rsidP="00686975">
      <w:pPr>
        <w:jc w:val="both"/>
        <w:rPr>
          <w:rFonts w:asciiTheme="minorHAnsi" w:hAnsiTheme="minorHAnsi" w:cstheme="minorHAnsi"/>
          <w:bCs w:val="0"/>
          <w:color w:val="000000"/>
        </w:rPr>
      </w:pPr>
    </w:p>
    <w:p w14:paraId="6B73879E" w14:textId="77777777" w:rsidR="00686975" w:rsidRPr="00686975" w:rsidRDefault="00686975" w:rsidP="00686975">
      <w:pPr>
        <w:jc w:val="both"/>
        <w:rPr>
          <w:rFonts w:asciiTheme="minorHAnsi" w:hAnsiTheme="minorHAnsi" w:cstheme="minorHAnsi"/>
          <w:bCs w:val="0"/>
          <w:color w:val="000000"/>
        </w:rPr>
      </w:pPr>
      <w:r w:rsidRPr="00686975">
        <w:rPr>
          <w:rFonts w:asciiTheme="minorHAnsi" w:hAnsiTheme="minorHAnsi" w:cstheme="minorHAnsi"/>
          <w:bCs w:val="0"/>
          <w:color w:val="000000"/>
        </w:rPr>
        <w:t>The list above of risk factors is not exhaustive. Please refer to the prospectus for full product details and complete information on the risks.</w:t>
      </w:r>
    </w:p>
    <w:p w14:paraId="4A26AB57" w14:textId="77777777" w:rsidR="00686975" w:rsidRPr="00686975" w:rsidRDefault="00686975" w:rsidP="00686975">
      <w:pPr>
        <w:jc w:val="both"/>
        <w:rPr>
          <w:rFonts w:asciiTheme="minorHAnsi" w:hAnsiTheme="minorHAnsi" w:cstheme="minorHAnsi"/>
          <w:bCs w:val="0"/>
          <w:color w:val="000000"/>
        </w:rPr>
      </w:pPr>
    </w:p>
    <w:p w14:paraId="4887F4A8" w14:textId="77777777" w:rsidR="00686975" w:rsidRPr="00686975" w:rsidRDefault="00686975" w:rsidP="00686975">
      <w:pPr>
        <w:jc w:val="both"/>
        <w:rPr>
          <w:rFonts w:asciiTheme="minorHAnsi" w:hAnsiTheme="minorHAnsi" w:cstheme="minorHAnsi"/>
          <w:bCs w:val="0"/>
          <w:color w:val="000000"/>
        </w:rPr>
      </w:pPr>
      <w:r w:rsidRPr="00686975">
        <w:rPr>
          <w:rFonts w:asciiTheme="minorHAnsi" w:hAnsiTheme="minorHAnsi" w:cstheme="minorHAnsi"/>
          <w:bCs w:val="0"/>
          <w:color w:val="000000"/>
        </w:rPr>
        <w:t>The ESG data used in the investment process is based on ESG methodologies that rely on data supplied by third parties. They are subjective and may evolve over time. Despite several initiatives, the absence of harmonized definitions can make ESG criteria heterogeneous. As a result, the various investment strategies that use ESG criteria and ESG reporting are difficult to compare with one another. Strategies that integrate ESG criteria and those that integrate sustainable development criteria may use ESG data that appear similar, but need to be distinguished because their calculation methods may be different.</w:t>
      </w:r>
    </w:p>
    <w:p w14:paraId="22C1B8E2" w14:textId="77777777" w:rsidR="00686975" w:rsidRPr="00686975" w:rsidRDefault="00686975" w:rsidP="00686975">
      <w:pPr>
        <w:jc w:val="both"/>
        <w:rPr>
          <w:rFonts w:asciiTheme="minorHAnsi" w:hAnsiTheme="minorHAnsi" w:cstheme="minorHAnsi"/>
          <w:bCs w:val="0"/>
          <w:color w:val="000000"/>
        </w:rPr>
      </w:pPr>
    </w:p>
    <w:p w14:paraId="454BB2B6" w14:textId="3887FA62" w:rsidR="00686975" w:rsidRPr="00686975" w:rsidRDefault="00686975" w:rsidP="00686975">
      <w:pPr>
        <w:jc w:val="both"/>
        <w:rPr>
          <w:rFonts w:asciiTheme="minorHAnsi" w:hAnsiTheme="minorHAnsi" w:cstheme="minorHAnsi"/>
          <w:bCs w:val="0"/>
          <w:color w:val="000000"/>
        </w:rPr>
      </w:pPr>
      <w:r w:rsidRPr="00686975">
        <w:rPr>
          <w:rFonts w:asciiTheme="minorHAnsi" w:hAnsiTheme="minorHAnsi" w:cstheme="minorHAnsi"/>
          <w:bCs w:val="0"/>
          <w:color w:val="000000"/>
        </w:rPr>
        <w:t xml:space="preserve">For more information on ETFs, including net asset values, visit the local fund centre at ETFs | </w:t>
      </w:r>
      <w:hyperlink r:id="rId13" w:history="1">
        <w:r w:rsidRPr="00686975">
          <w:rPr>
            <w:rStyle w:val="Hyperlink"/>
            <w:rFonts w:asciiTheme="minorHAnsi" w:hAnsiTheme="minorHAnsi" w:cstheme="minorHAnsi"/>
            <w:bCs w:val="0"/>
          </w:rPr>
          <w:t>https://core.axa-im.com/etf</w:t>
        </w:r>
      </w:hyperlink>
      <w:r w:rsidRPr="00686975">
        <w:rPr>
          <w:rFonts w:asciiTheme="minorHAnsi" w:hAnsiTheme="minorHAnsi" w:cstheme="minorHAnsi"/>
          <w:bCs w:val="0"/>
          <w:color w:val="000000"/>
        </w:rPr>
        <w:t>.</w:t>
      </w:r>
    </w:p>
    <w:p w14:paraId="321B43CF" w14:textId="77777777" w:rsidR="00686975" w:rsidRDefault="00686975" w:rsidP="00B30D03">
      <w:pPr>
        <w:pStyle w:val="currenttext"/>
        <w:spacing w:line="360" w:lineRule="auto"/>
        <w:rPr>
          <w:rFonts w:asciiTheme="minorHAnsi" w:hAnsiTheme="minorHAnsi"/>
          <w:bCs/>
          <w:color w:val="027180"/>
          <w:szCs w:val="18"/>
          <w:lang w:val="en-GB"/>
        </w:rPr>
      </w:pPr>
    </w:p>
    <w:p w14:paraId="4B0D0432" w14:textId="79A10A76" w:rsidR="00B30D03" w:rsidRPr="00590285" w:rsidRDefault="00CA4DCC" w:rsidP="00B30D03">
      <w:pPr>
        <w:pStyle w:val="currenttext"/>
        <w:spacing w:line="360" w:lineRule="auto"/>
        <w:rPr>
          <w:rFonts w:asciiTheme="minorHAnsi" w:hAnsiTheme="minorHAnsi"/>
          <w:b/>
          <w:color w:val="027180"/>
          <w:szCs w:val="18"/>
        </w:rPr>
      </w:pPr>
      <w:r w:rsidRPr="00590285">
        <w:rPr>
          <w:rFonts w:asciiTheme="minorHAnsi" w:hAnsiTheme="minorHAnsi"/>
          <w:b/>
          <w:color w:val="027180"/>
          <w:szCs w:val="18"/>
        </w:rPr>
        <w:t>Press c</w:t>
      </w:r>
      <w:r w:rsidR="00B30D03" w:rsidRPr="00590285">
        <w:rPr>
          <w:rFonts w:asciiTheme="minorHAnsi" w:hAnsiTheme="minorHAnsi"/>
          <w:b/>
          <w:color w:val="027180"/>
          <w:szCs w:val="18"/>
        </w:rPr>
        <w:t>ontacts</w:t>
      </w:r>
    </w:p>
    <w:p w14:paraId="381DC79B" w14:textId="5BEA9F17" w:rsidR="00381733" w:rsidRPr="00590285" w:rsidRDefault="009E422F" w:rsidP="00692698">
      <w:pPr>
        <w:jc w:val="both"/>
        <w:rPr>
          <w:rFonts w:asciiTheme="minorHAnsi" w:hAnsiTheme="minorHAnsi" w:cstheme="minorHAnsi"/>
          <w:bCs w:val="0"/>
          <w:lang w:val="fr-FR"/>
        </w:rPr>
      </w:pPr>
      <w:r w:rsidRPr="00590285">
        <w:rPr>
          <w:rFonts w:asciiTheme="minorHAnsi" w:hAnsiTheme="minorHAnsi" w:cstheme="minorHAnsi"/>
          <w:b/>
          <w:lang w:val="fr-FR"/>
        </w:rPr>
        <w:t xml:space="preserve">Julie Marie </w:t>
      </w:r>
      <w:r w:rsidRPr="00590285">
        <w:rPr>
          <w:rFonts w:asciiTheme="minorHAnsi" w:hAnsiTheme="minorHAnsi" w:cstheme="minorHAnsi"/>
          <w:bCs w:val="0"/>
          <w:lang w:val="fr-FR"/>
        </w:rPr>
        <w:t>- +33 1 44 45 50 62 –</w:t>
      </w:r>
      <w:r w:rsidRPr="00590285">
        <w:rPr>
          <w:rFonts w:asciiTheme="minorHAnsi" w:hAnsiTheme="minorHAnsi" w:cstheme="minorHAnsi"/>
          <w:b/>
          <w:lang w:val="fr-FR"/>
        </w:rPr>
        <w:t xml:space="preserve"> </w:t>
      </w:r>
      <w:hyperlink r:id="rId14" w:history="1">
        <w:r w:rsidR="00381733" w:rsidRPr="00590285">
          <w:rPr>
            <w:rStyle w:val="Hyperlink"/>
            <w:rFonts w:asciiTheme="minorHAnsi" w:hAnsiTheme="minorHAnsi" w:cstheme="minorHAnsi"/>
            <w:bCs w:val="0"/>
            <w:lang w:val="fr-FR"/>
          </w:rPr>
          <w:t>julie.marie@axa-im.com</w:t>
        </w:r>
      </w:hyperlink>
    </w:p>
    <w:p w14:paraId="32D15682" w14:textId="63367B45" w:rsidR="00692698" w:rsidRPr="00590285" w:rsidRDefault="00CA764C" w:rsidP="00692698">
      <w:pPr>
        <w:jc w:val="both"/>
        <w:rPr>
          <w:rFonts w:asciiTheme="minorHAnsi" w:eastAsiaTheme="minorEastAsia" w:hAnsiTheme="minorHAnsi" w:cstheme="minorHAnsi"/>
          <w:color w:val="000091"/>
          <w:lang w:val="fr-FR" w:eastAsia="en-GB"/>
        </w:rPr>
      </w:pPr>
      <w:r w:rsidRPr="00590285">
        <w:rPr>
          <w:rFonts w:asciiTheme="minorHAnsi" w:hAnsiTheme="minorHAnsi" w:cstheme="minorHAnsi"/>
          <w:b/>
          <w:lang w:val="fr-FR"/>
        </w:rPr>
        <w:t xml:space="preserve">Amira </w:t>
      </w:r>
      <w:proofErr w:type="spellStart"/>
      <w:r w:rsidRPr="00590285">
        <w:rPr>
          <w:rFonts w:asciiTheme="minorHAnsi" w:hAnsiTheme="minorHAnsi" w:cstheme="minorHAnsi"/>
          <w:b/>
          <w:lang w:val="fr-FR"/>
        </w:rPr>
        <w:t>Adjal</w:t>
      </w:r>
      <w:proofErr w:type="spellEnd"/>
      <w:r w:rsidR="00692698" w:rsidRPr="00590285">
        <w:rPr>
          <w:rFonts w:asciiTheme="minorHAnsi" w:hAnsiTheme="minorHAnsi" w:cstheme="minorHAnsi"/>
          <w:b/>
          <w:lang w:val="fr-FR"/>
        </w:rPr>
        <w:t xml:space="preserve"> </w:t>
      </w:r>
      <w:r w:rsidR="00692698" w:rsidRPr="00590285">
        <w:rPr>
          <w:rFonts w:asciiTheme="minorHAnsi" w:hAnsiTheme="minorHAnsi" w:cstheme="minorHAnsi"/>
          <w:lang w:val="fr-FR"/>
        </w:rPr>
        <w:t>- +44</w:t>
      </w:r>
      <w:r w:rsidRPr="00590285">
        <w:rPr>
          <w:rFonts w:asciiTheme="minorHAnsi" w:hAnsiTheme="minorHAnsi" w:cstheme="minorHAnsi"/>
          <w:lang w:val="fr-FR"/>
        </w:rPr>
        <w:t xml:space="preserve"> 20 7003 2633 </w:t>
      </w:r>
      <w:r w:rsidR="00692698" w:rsidRPr="00590285">
        <w:rPr>
          <w:rFonts w:asciiTheme="minorHAnsi" w:eastAsiaTheme="minorEastAsia" w:hAnsiTheme="minorHAnsi" w:cstheme="minorHAnsi"/>
          <w:lang w:val="fr-FR" w:eastAsia="en-GB"/>
        </w:rPr>
        <w:t>–</w:t>
      </w:r>
      <w:r w:rsidRPr="00590285">
        <w:rPr>
          <w:rFonts w:asciiTheme="minorHAnsi" w:eastAsiaTheme="minorEastAsia" w:hAnsiTheme="minorHAnsi" w:cstheme="minorHAnsi"/>
          <w:lang w:val="fr-FR" w:eastAsia="en-GB"/>
        </w:rPr>
        <w:t xml:space="preserve"> </w:t>
      </w:r>
      <w:hyperlink r:id="rId15" w:history="1">
        <w:r w:rsidRPr="00590285">
          <w:rPr>
            <w:rStyle w:val="Hyperlink"/>
            <w:rFonts w:asciiTheme="minorHAnsi" w:eastAsiaTheme="minorEastAsia" w:hAnsiTheme="minorHAnsi" w:cstheme="minorHAnsi"/>
            <w:lang w:val="fr-FR" w:eastAsia="en-GB"/>
          </w:rPr>
          <w:t>amira.adjal@axa-im.com</w:t>
        </w:r>
      </w:hyperlink>
      <w:r w:rsidRPr="00590285">
        <w:rPr>
          <w:rFonts w:asciiTheme="minorHAnsi" w:eastAsiaTheme="minorEastAsia" w:hAnsiTheme="minorHAnsi" w:cstheme="minorHAnsi"/>
          <w:color w:val="000091"/>
          <w:lang w:val="fr-FR" w:eastAsia="en-GB"/>
        </w:rPr>
        <w:t xml:space="preserve"> </w:t>
      </w:r>
    </w:p>
    <w:p w14:paraId="23F07A44" w14:textId="2E3EA5FD" w:rsidR="00692698" w:rsidRPr="002D2AA4" w:rsidRDefault="00692698" w:rsidP="00692698">
      <w:pPr>
        <w:jc w:val="both"/>
        <w:rPr>
          <w:rStyle w:val="Hyperlink"/>
          <w:rFonts w:asciiTheme="minorHAnsi" w:hAnsiTheme="minorHAnsi" w:cstheme="minorHAnsi"/>
        </w:rPr>
      </w:pPr>
      <w:r w:rsidRPr="002D2AA4">
        <w:rPr>
          <w:rFonts w:asciiTheme="minorHAnsi" w:hAnsiTheme="minorHAnsi" w:cstheme="minorHAnsi"/>
          <w:b/>
        </w:rPr>
        <w:t>Jamie Wynn-Williams </w:t>
      </w:r>
      <w:r w:rsidRPr="002D2AA4">
        <w:rPr>
          <w:rFonts w:asciiTheme="minorHAnsi" w:hAnsiTheme="minorHAnsi" w:cstheme="minorHAnsi"/>
          <w:bCs w:val="0"/>
        </w:rPr>
        <w:t>-</w:t>
      </w:r>
      <w:r w:rsidRPr="002D2AA4">
        <w:rPr>
          <w:rFonts w:asciiTheme="minorHAnsi" w:hAnsiTheme="minorHAnsi" w:cstheme="minorHAnsi"/>
          <w:b/>
        </w:rPr>
        <w:t xml:space="preserve"> </w:t>
      </w:r>
      <w:r w:rsidRPr="002D2AA4">
        <w:rPr>
          <w:rFonts w:asciiTheme="minorHAnsi" w:hAnsiTheme="minorHAnsi" w:cstheme="minorHAnsi"/>
        </w:rPr>
        <w:t>+44 20 70</w:t>
      </w:r>
      <w:r w:rsidR="0011327B" w:rsidRPr="002D2AA4">
        <w:rPr>
          <w:rFonts w:asciiTheme="minorHAnsi" w:hAnsiTheme="minorHAnsi" w:cstheme="minorHAnsi"/>
        </w:rPr>
        <w:t xml:space="preserve"> </w:t>
      </w:r>
      <w:r w:rsidRPr="002D2AA4">
        <w:rPr>
          <w:rFonts w:asciiTheme="minorHAnsi" w:hAnsiTheme="minorHAnsi" w:cstheme="minorHAnsi"/>
        </w:rPr>
        <w:t>03 26</w:t>
      </w:r>
      <w:r w:rsidR="0011327B" w:rsidRPr="002D2AA4">
        <w:rPr>
          <w:rFonts w:asciiTheme="minorHAnsi" w:hAnsiTheme="minorHAnsi" w:cstheme="minorHAnsi"/>
        </w:rPr>
        <w:t xml:space="preserve"> </w:t>
      </w:r>
      <w:r w:rsidRPr="002D2AA4">
        <w:rPr>
          <w:rFonts w:asciiTheme="minorHAnsi" w:hAnsiTheme="minorHAnsi" w:cstheme="minorHAnsi"/>
        </w:rPr>
        <w:t xml:space="preserve">80 </w:t>
      </w:r>
      <w:r w:rsidRPr="002D2AA4">
        <w:rPr>
          <w:rFonts w:asciiTheme="minorHAnsi" w:hAnsiTheme="minorHAnsi" w:cstheme="minorHAnsi"/>
          <w:color w:val="333333"/>
        </w:rPr>
        <w:t>– </w:t>
      </w:r>
      <w:hyperlink r:id="rId16" w:history="1">
        <w:r w:rsidR="008A195A" w:rsidRPr="002D2AA4">
          <w:rPr>
            <w:rStyle w:val="Hyperlink"/>
            <w:rFonts w:asciiTheme="minorHAnsi" w:hAnsiTheme="minorHAnsi" w:cstheme="minorHAnsi"/>
          </w:rPr>
          <w:t>jamie.wynn-williams@axa-im.com</w:t>
        </w:r>
      </w:hyperlink>
    </w:p>
    <w:p w14:paraId="7CA88A21" w14:textId="77777777" w:rsidR="00D50FBA" w:rsidRPr="002D2AA4" w:rsidRDefault="00D50FBA" w:rsidP="00692698">
      <w:pPr>
        <w:jc w:val="both"/>
        <w:rPr>
          <w:rFonts w:asciiTheme="minorHAnsi" w:hAnsiTheme="minorHAnsi" w:cstheme="minorHAnsi"/>
        </w:rPr>
      </w:pPr>
    </w:p>
    <w:p w14:paraId="45AD265D" w14:textId="77777777" w:rsidR="00B30D03" w:rsidRPr="002D2AA4" w:rsidRDefault="00B30D03" w:rsidP="00B30D03">
      <w:pPr>
        <w:pStyle w:val="currenttext"/>
        <w:spacing w:line="240" w:lineRule="auto"/>
        <w:rPr>
          <w:rFonts w:asciiTheme="minorHAnsi" w:hAnsiTheme="minorHAnsi"/>
          <w:sz w:val="18"/>
          <w:szCs w:val="18"/>
          <w:lang w:val="en-GB"/>
        </w:rPr>
      </w:pPr>
    </w:p>
    <w:p w14:paraId="1EA59408" w14:textId="77777777" w:rsidR="00B30D03" w:rsidRPr="002D2AA4" w:rsidRDefault="00B30D03" w:rsidP="00B30D03">
      <w:pPr>
        <w:pStyle w:val="currenttext"/>
        <w:spacing w:after="120" w:line="240" w:lineRule="auto"/>
        <w:rPr>
          <w:rFonts w:asciiTheme="minorHAnsi" w:hAnsiTheme="minorHAnsi"/>
          <w:b/>
          <w:color w:val="027180"/>
          <w:szCs w:val="18"/>
          <w:lang w:val="en-GB"/>
        </w:rPr>
      </w:pPr>
      <w:r w:rsidRPr="002D2AA4">
        <w:rPr>
          <w:rFonts w:asciiTheme="minorHAnsi" w:hAnsiTheme="minorHAnsi"/>
          <w:b/>
          <w:color w:val="027180"/>
          <w:szCs w:val="18"/>
          <w:lang w:val="en-GB"/>
        </w:rPr>
        <w:t>About AXA Investment Managers</w:t>
      </w:r>
    </w:p>
    <w:p w14:paraId="721C45FF" w14:textId="77777777" w:rsidR="00075C20" w:rsidRPr="002D2AA4" w:rsidRDefault="00526D5A" w:rsidP="00075C20">
      <w:pPr>
        <w:contextualSpacing/>
        <w:jc w:val="both"/>
        <w:rPr>
          <w:rFonts w:asciiTheme="minorHAnsi" w:hAnsiTheme="minorHAnsi" w:cstheme="minorHAnsi"/>
        </w:rPr>
      </w:pPr>
      <w:r w:rsidRPr="002D2AA4">
        <w:rPr>
          <w:rFonts w:asciiTheme="minorHAnsi" w:hAnsiTheme="minorHAnsi" w:cstheme="minorHAnsi"/>
        </w:rPr>
        <w:t xml:space="preserve">AXA </w:t>
      </w:r>
      <w:r w:rsidR="00075C20" w:rsidRPr="002D2AA4">
        <w:rPr>
          <w:rFonts w:asciiTheme="minorHAnsi" w:hAnsiTheme="minorHAnsi" w:cstheme="minorHAnsi"/>
        </w:rPr>
        <w:t>Investment Managers (AXA IM) is a leading global asset manager offering a diverse range of global investment opportunities in both alternative and traditional asset classes. Through our products we aim to diversify and grow portfolios, while delivering long-term investment performance and value for clients.</w:t>
      </w:r>
    </w:p>
    <w:p w14:paraId="41B637CE" w14:textId="77777777" w:rsidR="00075C20" w:rsidRPr="002D2AA4" w:rsidRDefault="00075C20" w:rsidP="00075C20">
      <w:pPr>
        <w:contextualSpacing/>
        <w:jc w:val="both"/>
        <w:rPr>
          <w:rFonts w:asciiTheme="minorHAnsi" w:hAnsiTheme="minorHAnsi" w:cstheme="minorHAnsi"/>
        </w:rPr>
      </w:pPr>
    </w:p>
    <w:p w14:paraId="0687B088" w14:textId="77777777" w:rsidR="00075C20" w:rsidRPr="002D2AA4" w:rsidRDefault="00075C20" w:rsidP="00075C20">
      <w:pPr>
        <w:contextualSpacing/>
        <w:jc w:val="both"/>
        <w:rPr>
          <w:rFonts w:asciiTheme="minorHAnsi" w:hAnsiTheme="minorHAnsi" w:cstheme="minorHAnsi"/>
        </w:rPr>
      </w:pPr>
      <w:r w:rsidRPr="002D2AA4">
        <w:rPr>
          <w:rFonts w:asciiTheme="minorHAnsi" w:hAnsiTheme="minorHAnsi" w:cstheme="minorHAnsi"/>
        </w:rPr>
        <w:lastRenderedPageBreak/>
        <w:t>AXA IM manages approximately €859 billion in assets*, and has €480 billion of ESG-integrated, sustainable or impact assets**. Our purpose is to act for human progress by investing for what matters. As a responsible asset manager, we are committed to integrating ESG principles across our business, from stock selection to our corporate actions and culture.</w:t>
      </w:r>
    </w:p>
    <w:p w14:paraId="1E8C0AF4" w14:textId="77777777" w:rsidR="00075C20" w:rsidRPr="002D2AA4" w:rsidRDefault="00075C20" w:rsidP="00075C20">
      <w:pPr>
        <w:contextualSpacing/>
        <w:jc w:val="both"/>
        <w:rPr>
          <w:rFonts w:asciiTheme="minorHAnsi" w:hAnsiTheme="minorHAnsi" w:cstheme="minorHAnsi"/>
        </w:rPr>
      </w:pPr>
    </w:p>
    <w:p w14:paraId="7D8CF94B" w14:textId="77777777" w:rsidR="00075C20" w:rsidRPr="002D2AA4" w:rsidRDefault="00075C20" w:rsidP="00075C20">
      <w:pPr>
        <w:contextualSpacing/>
        <w:jc w:val="both"/>
        <w:rPr>
          <w:rFonts w:asciiTheme="minorHAnsi" w:hAnsiTheme="minorHAnsi" w:cstheme="minorHAnsi"/>
        </w:rPr>
      </w:pPr>
      <w:r w:rsidRPr="002D2AA4">
        <w:rPr>
          <w:rFonts w:asciiTheme="minorHAnsi" w:hAnsiTheme="minorHAnsi" w:cstheme="minorHAnsi"/>
        </w:rPr>
        <w:t>Part of the AXA Group, a worldwide leader in insurance and asset management, AXA IM employs over 2,800 employees and operates from 23 offices in 18 countries globally**.</w:t>
      </w:r>
    </w:p>
    <w:p w14:paraId="2444BD77" w14:textId="77777777" w:rsidR="00075C20" w:rsidRPr="002D2AA4" w:rsidRDefault="00075C20" w:rsidP="00075C20">
      <w:pPr>
        <w:contextualSpacing/>
        <w:jc w:val="both"/>
        <w:rPr>
          <w:rFonts w:asciiTheme="minorHAnsi" w:hAnsiTheme="minorHAnsi" w:cstheme="minorHAnsi"/>
        </w:rPr>
      </w:pPr>
    </w:p>
    <w:p w14:paraId="7C254496" w14:textId="28423686" w:rsidR="00075C20" w:rsidRPr="002D2AA4" w:rsidRDefault="00075C20" w:rsidP="00075C20">
      <w:pPr>
        <w:contextualSpacing/>
        <w:jc w:val="both"/>
        <w:rPr>
          <w:rFonts w:asciiTheme="minorHAnsi" w:hAnsiTheme="minorHAnsi" w:cstheme="minorHAnsi"/>
          <w:i/>
          <w:iCs/>
        </w:rPr>
      </w:pPr>
      <w:r w:rsidRPr="002D2AA4">
        <w:rPr>
          <w:rFonts w:asciiTheme="minorHAnsi" w:hAnsiTheme="minorHAnsi" w:cstheme="minorHAnsi"/>
          <w:i/>
          <w:iCs/>
        </w:rPr>
        <w:t xml:space="preserve">*As at the end of </w:t>
      </w:r>
      <w:r w:rsidR="00596AAD" w:rsidRPr="002D2AA4">
        <w:rPr>
          <w:rFonts w:asciiTheme="minorHAnsi" w:hAnsiTheme="minorHAnsi" w:cstheme="minorHAnsi"/>
          <w:i/>
          <w:iCs/>
        </w:rPr>
        <w:t>June</w:t>
      </w:r>
      <w:r w:rsidRPr="002D2AA4">
        <w:rPr>
          <w:rFonts w:asciiTheme="minorHAnsi" w:hAnsiTheme="minorHAnsi" w:cstheme="minorHAnsi"/>
          <w:i/>
          <w:iCs/>
        </w:rPr>
        <w:t xml:space="preserve"> 2024, including non-consolidated entities.</w:t>
      </w:r>
    </w:p>
    <w:p w14:paraId="187F7478" w14:textId="3CC51DD6" w:rsidR="005A4647" w:rsidRPr="002D2AA4" w:rsidRDefault="00075C20" w:rsidP="00075C20">
      <w:pPr>
        <w:contextualSpacing/>
        <w:jc w:val="both"/>
        <w:rPr>
          <w:rFonts w:asciiTheme="minorHAnsi" w:hAnsiTheme="minorHAnsi" w:cstheme="minorHAnsi"/>
          <w:i/>
          <w:iCs/>
        </w:rPr>
      </w:pPr>
      <w:r w:rsidRPr="002D2AA4">
        <w:rPr>
          <w:rFonts w:asciiTheme="minorHAnsi" w:hAnsiTheme="minorHAnsi" w:cstheme="minorHAnsi"/>
          <w:i/>
          <w:iCs/>
        </w:rPr>
        <w:t>** As at the end of December 2023.</w:t>
      </w:r>
    </w:p>
    <w:p w14:paraId="05104EFA" w14:textId="77777777" w:rsidR="00075C20" w:rsidRPr="002D2AA4" w:rsidRDefault="00075C20" w:rsidP="00075C20">
      <w:pPr>
        <w:contextualSpacing/>
        <w:jc w:val="both"/>
        <w:rPr>
          <w:rFonts w:asciiTheme="minorHAnsi" w:hAnsiTheme="minorHAnsi" w:cs="Arial"/>
          <w:color w:val="333333"/>
          <w:sz w:val="18"/>
          <w:szCs w:val="18"/>
          <w:lang w:eastAsia="fr-FR"/>
        </w:rPr>
      </w:pPr>
    </w:p>
    <w:p w14:paraId="286F27FE" w14:textId="77777777" w:rsidR="00B30D03" w:rsidRPr="002D2AA4" w:rsidRDefault="00B30D03" w:rsidP="00B30D03">
      <w:pPr>
        <w:spacing w:after="120"/>
        <w:contextualSpacing/>
        <w:rPr>
          <w:rFonts w:asciiTheme="minorHAnsi" w:hAnsiTheme="minorHAnsi" w:cs="Arial"/>
          <w:color w:val="000000"/>
          <w:sz w:val="18"/>
          <w:szCs w:val="18"/>
          <w:lang w:eastAsia="fr-FR"/>
        </w:rPr>
      </w:pPr>
      <w:r w:rsidRPr="002D2AA4">
        <w:rPr>
          <w:rFonts w:asciiTheme="minorHAnsi" w:hAnsiTheme="minorHAnsi" w:cs="Arial"/>
          <w:sz w:val="18"/>
          <w:szCs w:val="18"/>
          <w:lang w:eastAsia="fr-FR"/>
        </w:rPr>
        <w:t>Visit our website</w:t>
      </w:r>
      <w:r w:rsidRPr="002D2AA4">
        <w:rPr>
          <w:rFonts w:asciiTheme="minorHAnsi" w:hAnsiTheme="minorHAnsi" w:cs="Arial"/>
          <w:color w:val="333333"/>
          <w:sz w:val="18"/>
          <w:szCs w:val="18"/>
          <w:lang w:eastAsia="fr-FR"/>
        </w:rPr>
        <w:t xml:space="preserve">: </w:t>
      </w:r>
      <w:hyperlink r:id="rId17" w:history="1">
        <w:r w:rsidRPr="002D2AA4">
          <w:rPr>
            <w:rFonts w:asciiTheme="minorHAnsi" w:hAnsiTheme="minorHAnsi" w:cs="Arial"/>
            <w:color w:val="0000FF"/>
            <w:sz w:val="18"/>
            <w:szCs w:val="18"/>
            <w:u w:val="single"/>
            <w:lang w:eastAsia="fr-FR"/>
          </w:rPr>
          <w:t>www.axa-im.com</w:t>
        </w:r>
      </w:hyperlink>
      <w:r w:rsidRPr="002D2AA4">
        <w:rPr>
          <w:rFonts w:asciiTheme="minorHAnsi" w:hAnsiTheme="minorHAnsi" w:cs="Arial"/>
          <w:color w:val="000000"/>
          <w:sz w:val="18"/>
          <w:szCs w:val="18"/>
          <w:lang w:eastAsia="fr-FR"/>
        </w:rPr>
        <w:t xml:space="preserve"> </w:t>
      </w:r>
    </w:p>
    <w:p w14:paraId="7396489E" w14:textId="77777777" w:rsidR="00B30D03" w:rsidRPr="002D2AA4" w:rsidRDefault="00B30D03" w:rsidP="00B30D03">
      <w:pPr>
        <w:spacing w:after="120"/>
        <w:contextualSpacing/>
        <w:rPr>
          <w:rFonts w:asciiTheme="minorHAnsi" w:hAnsiTheme="minorHAnsi" w:cs="Arial"/>
          <w:color w:val="333333"/>
          <w:sz w:val="18"/>
          <w:szCs w:val="18"/>
          <w:lang w:eastAsia="fr-FR"/>
        </w:rPr>
      </w:pPr>
      <w:r w:rsidRPr="002D2AA4">
        <w:rPr>
          <w:rFonts w:asciiTheme="minorHAnsi" w:hAnsiTheme="minorHAnsi" w:cs="Arial"/>
          <w:sz w:val="18"/>
          <w:szCs w:val="18"/>
          <w:lang w:eastAsia="fr-FR"/>
        </w:rPr>
        <w:t xml:space="preserve">Follow us on </w:t>
      </w:r>
      <w:hyperlink r:id="rId18" w:history="1">
        <w:r w:rsidRPr="002D2AA4">
          <w:rPr>
            <w:rFonts w:asciiTheme="minorHAnsi" w:hAnsiTheme="minorHAnsi" w:cs="Arial"/>
            <w:color w:val="0000FF"/>
            <w:sz w:val="18"/>
            <w:szCs w:val="18"/>
            <w:u w:val="single"/>
            <w:lang w:eastAsia="fr-FR"/>
          </w:rPr>
          <w:t>LinkedIn</w:t>
        </w:r>
      </w:hyperlink>
    </w:p>
    <w:p w14:paraId="676CCF74" w14:textId="63CE1E9C" w:rsidR="00B30D03" w:rsidRPr="002D2AA4" w:rsidRDefault="00B30D03" w:rsidP="00B30D03">
      <w:pPr>
        <w:spacing w:after="120"/>
        <w:contextualSpacing/>
        <w:rPr>
          <w:rFonts w:asciiTheme="minorHAnsi" w:hAnsiTheme="minorHAnsi" w:cs="Arial"/>
          <w:color w:val="000000"/>
          <w:sz w:val="18"/>
          <w:szCs w:val="18"/>
          <w:lang w:eastAsia="fr-FR"/>
        </w:rPr>
      </w:pPr>
      <w:r w:rsidRPr="002D2AA4">
        <w:rPr>
          <w:rFonts w:asciiTheme="minorHAnsi" w:hAnsiTheme="minorHAnsi" w:cs="Arial"/>
          <w:sz w:val="18"/>
          <w:szCs w:val="18"/>
          <w:lang w:eastAsia="fr-FR"/>
        </w:rPr>
        <w:t>Visit our media cent</w:t>
      </w:r>
      <w:r w:rsidR="003B4230" w:rsidRPr="002D2AA4">
        <w:rPr>
          <w:rFonts w:asciiTheme="minorHAnsi" w:hAnsiTheme="minorHAnsi" w:cs="Arial"/>
          <w:sz w:val="18"/>
          <w:szCs w:val="18"/>
          <w:lang w:eastAsia="fr-FR"/>
        </w:rPr>
        <w:t>re</w:t>
      </w:r>
      <w:r w:rsidRPr="002D2AA4">
        <w:rPr>
          <w:rFonts w:asciiTheme="minorHAnsi" w:hAnsiTheme="minorHAnsi" w:cs="Arial"/>
          <w:sz w:val="18"/>
          <w:szCs w:val="18"/>
          <w:lang w:eastAsia="fr-FR"/>
        </w:rPr>
        <w:t xml:space="preserve">: </w:t>
      </w:r>
      <w:hyperlink r:id="rId19" w:history="1">
        <w:r w:rsidRPr="002D2AA4">
          <w:rPr>
            <w:rStyle w:val="Hyperlink"/>
            <w:rFonts w:asciiTheme="minorHAnsi" w:hAnsiTheme="minorHAnsi" w:cs="Arial"/>
            <w:sz w:val="18"/>
            <w:szCs w:val="18"/>
            <w:lang w:eastAsia="fr-FR"/>
          </w:rPr>
          <w:t>www.axa-im.com/</w:t>
        </w:r>
        <w:r w:rsidR="00152794" w:rsidRPr="002D2AA4">
          <w:rPr>
            <w:rStyle w:val="Hyperlink"/>
            <w:rFonts w:asciiTheme="minorHAnsi" w:hAnsiTheme="minorHAnsi" w:cs="Arial"/>
            <w:sz w:val="18"/>
            <w:szCs w:val="18"/>
            <w:lang w:eastAsia="fr-FR"/>
          </w:rPr>
          <w:t>uk/media-centre</w:t>
        </w:r>
      </w:hyperlink>
    </w:p>
    <w:p w14:paraId="545F914C" w14:textId="1799884C" w:rsidR="00B30D03" w:rsidRPr="002D2AA4" w:rsidRDefault="00B30D03" w:rsidP="00B30D03">
      <w:pPr>
        <w:spacing w:after="120"/>
        <w:jc w:val="both"/>
        <w:rPr>
          <w:rFonts w:asciiTheme="minorHAnsi" w:hAnsiTheme="minorHAnsi" w:cs="Arial"/>
          <w:color w:val="333333"/>
          <w:sz w:val="18"/>
          <w:szCs w:val="18"/>
        </w:rPr>
      </w:pPr>
    </w:p>
    <w:p w14:paraId="02C3599E" w14:textId="77777777" w:rsidR="0037628C" w:rsidRPr="002D2AA4" w:rsidRDefault="0037628C" w:rsidP="006B172F">
      <w:pPr>
        <w:jc w:val="both"/>
        <w:rPr>
          <w:rFonts w:asciiTheme="minorHAnsi" w:hAnsiTheme="minorHAnsi" w:cs="Arial"/>
          <w:sz w:val="18"/>
          <w:szCs w:val="18"/>
        </w:rPr>
      </w:pPr>
      <w:r w:rsidRPr="002D2AA4">
        <w:rPr>
          <w:rFonts w:asciiTheme="minorHAnsi" w:hAnsiTheme="minorHAnsi" w:cs="Arial"/>
          <w:sz w:val="18"/>
          <w:szCs w:val="18"/>
        </w:rPr>
        <w:t>This press release should not be regarded as an offer, solicitation, invitation or recommendation to subscribe for any investment service or product and is provided for information purposes only. No financial decisions should be made on the basis of information provided.</w:t>
      </w:r>
    </w:p>
    <w:p w14:paraId="2A4AB213" w14:textId="77777777" w:rsidR="0037628C" w:rsidRPr="002D2AA4" w:rsidRDefault="0037628C" w:rsidP="006B172F">
      <w:pPr>
        <w:jc w:val="both"/>
        <w:rPr>
          <w:rFonts w:asciiTheme="minorHAnsi" w:hAnsiTheme="minorHAnsi" w:cs="Arial"/>
          <w:sz w:val="18"/>
          <w:szCs w:val="18"/>
        </w:rPr>
      </w:pPr>
    </w:p>
    <w:p w14:paraId="1C7BFA0D" w14:textId="77777777" w:rsidR="006B172F" w:rsidRPr="002D2AA4" w:rsidRDefault="006B172F" w:rsidP="006B172F">
      <w:pPr>
        <w:jc w:val="both"/>
        <w:rPr>
          <w:rFonts w:asciiTheme="minorHAnsi" w:hAnsiTheme="minorHAnsi" w:cs="Arial"/>
          <w:sz w:val="18"/>
          <w:szCs w:val="18"/>
        </w:rPr>
      </w:pPr>
      <w:r w:rsidRPr="002D2AA4">
        <w:rPr>
          <w:rFonts w:asciiTheme="minorHAnsi" w:hAnsiTheme="minorHAnsi" w:cs="Arial"/>
          <w:sz w:val="18"/>
          <w:szCs w:val="18"/>
        </w:rPr>
        <w:t>This press release does not constitute on the part of AXA Investment Managers a solicitation or investment, legal or tax advice. This material does not contain sufficient information to support an investment decision.</w:t>
      </w:r>
    </w:p>
    <w:p w14:paraId="5B348576" w14:textId="77777777" w:rsidR="006B172F" w:rsidRPr="002D2AA4" w:rsidRDefault="006B172F" w:rsidP="006B172F">
      <w:pPr>
        <w:jc w:val="both"/>
        <w:rPr>
          <w:rFonts w:asciiTheme="minorHAnsi" w:hAnsiTheme="minorHAnsi" w:cs="Arial"/>
          <w:sz w:val="18"/>
          <w:szCs w:val="18"/>
        </w:rPr>
      </w:pPr>
    </w:p>
    <w:p w14:paraId="6A5ECD74" w14:textId="65741090" w:rsidR="0037628C" w:rsidRPr="002D2AA4" w:rsidRDefault="006B172F" w:rsidP="006B172F">
      <w:pPr>
        <w:jc w:val="both"/>
        <w:rPr>
          <w:rFonts w:asciiTheme="minorHAnsi" w:hAnsiTheme="minorHAnsi" w:cs="Arial"/>
          <w:sz w:val="18"/>
          <w:szCs w:val="18"/>
        </w:rPr>
      </w:pPr>
      <w:r w:rsidRPr="002D2AA4">
        <w:rPr>
          <w:rFonts w:asciiTheme="minorHAnsi" w:hAnsiTheme="minorHAnsi" w:cs="Arial"/>
          <w:sz w:val="18"/>
          <w:szCs w:val="18"/>
        </w:rPr>
        <w:t>Due to its simplification, this document is partial and opinions, estimates and forecasts herein are subjective and subject to change without notice. There is no guarantee forecasts made will come to pass. Data, figures, declarations, analysis, predictions and other information in this document is provided based on our state of knowledge at the time of creation of this document. Whilst every care is taken, no representation or warranty (including liability towards third parties), express or implied, is made as to the accuracy, reliability or completeness of the information contained herein. Reliance upon information in this material is at the sole discretion of the recipient. This material does not contain sufficient information to support an investment decision.</w:t>
      </w:r>
    </w:p>
    <w:p w14:paraId="5E6B46B6" w14:textId="77777777" w:rsidR="006B172F" w:rsidRPr="002D2AA4" w:rsidRDefault="006B172F" w:rsidP="006B172F">
      <w:pPr>
        <w:jc w:val="both"/>
        <w:rPr>
          <w:rFonts w:asciiTheme="minorHAnsi" w:hAnsiTheme="minorHAnsi" w:cs="Arial"/>
          <w:sz w:val="18"/>
          <w:szCs w:val="18"/>
        </w:rPr>
      </w:pPr>
    </w:p>
    <w:p w14:paraId="01098AD9" w14:textId="56B75F5C" w:rsidR="006B172F" w:rsidRPr="002D2AA4" w:rsidRDefault="006B172F" w:rsidP="006B172F">
      <w:pPr>
        <w:jc w:val="both"/>
        <w:rPr>
          <w:rFonts w:asciiTheme="minorHAnsi" w:hAnsiTheme="minorHAnsi" w:cs="Arial"/>
          <w:sz w:val="18"/>
          <w:szCs w:val="18"/>
        </w:rPr>
      </w:pPr>
      <w:r w:rsidRPr="002D2AA4">
        <w:rPr>
          <w:rFonts w:asciiTheme="minorHAnsi" w:hAnsiTheme="minorHAnsi" w:cs="Arial"/>
          <w:sz w:val="18"/>
          <w:szCs w:val="18"/>
        </w:rPr>
        <w:t xml:space="preserve">The characteristics of </w:t>
      </w:r>
      <w:r w:rsidR="00D42649" w:rsidRPr="002D2AA4">
        <w:rPr>
          <w:rFonts w:asciiTheme="minorHAnsi" w:hAnsiTheme="minorHAnsi" w:cs="Arial"/>
          <w:sz w:val="18"/>
          <w:szCs w:val="18"/>
        </w:rPr>
        <w:t xml:space="preserve">AXA IM Emerging Markets Credit PAB UCITS ETF </w:t>
      </w:r>
      <w:r w:rsidRPr="002D2AA4">
        <w:rPr>
          <w:rFonts w:asciiTheme="minorHAnsi" w:hAnsiTheme="minorHAnsi" w:cs="Arial"/>
          <w:sz w:val="18"/>
          <w:szCs w:val="18"/>
        </w:rPr>
        <w:t xml:space="preserve">do not protect investors from the potential effect of inflation over time. Investments and/or any income received during the period will not be revalued by the rate of inflation over the same period. As a result, the inflation-adjusted rates of return of the </w:t>
      </w:r>
      <w:r w:rsidR="00D42649" w:rsidRPr="002D2AA4">
        <w:rPr>
          <w:rFonts w:asciiTheme="minorHAnsi" w:hAnsiTheme="minorHAnsi" w:cs="Arial"/>
          <w:sz w:val="18"/>
          <w:szCs w:val="18"/>
        </w:rPr>
        <w:t xml:space="preserve">AXA IM Emerging Markets Credit PAB UCITS ETF </w:t>
      </w:r>
      <w:r w:rsidRPr="002D2AA4">
        <w:rPr>
          <w:rFonts w:asciiTheme="minorHAnsi" w:hAnsiTheme="minorHAnsi" w:cs="Arial"/>
          <w:sz w:val="18"/>
          <w:szCs w:val="18"/>
        </w:rPr>
        <w:t>could be negative. Consequently, inflation could adversely affect the performance and/or value of your investment.</w:t>
      </w:r>
    </w:p>
    <w:p w14:paraId="02095CE8" w14:textId="77777777" w:rsidR="006B172F" w:rsidRPr="002D2AA4" w:rsidRDefault="006B172F" w:rsidP="006B172F">
      <w:pPr>
        <w:jc w:val="both"/>
        <w:rPr>
          <w:rFonts w:asciiTheme="minorHAnsi" w:hAnsiTheme="minorHAnsi" w:cs="Arial"/>
          <w:sz w:val="18"/>
          <w:szCs w:val="18"/>
        </w:rPr>
      </w:pPr>
    </w:p>
    <w:p w14:paraId="27C69FD7" w14:textId="77777777" w:rsidR="006B172F" w:rsidRPr="002D2AA4" w:rsidRDefault="006B172F" w:rsidP="006B172F">
      <w:pPr>
        <w:jc w:val="both"/>
        <w:rPr>
          <w:rFonts w:asciiTheme="minorHAnsi" w:hAnsiTheme="minorHAnsi" w:cs="Arial"/>
          <w:sz w:val="18"/>
          <w:szCs w:val="18"/>
        </w:rPr>
      </w:pPr>
      <w:r w:rsidRPr="002D2AA4">
        <w:rPr>
          <w:rFonts w:asciiTheme="minorHAnsi" w:hAnsiTheme="minorHAnsi" w:cs="Arial"/>
          <w:sz w:val="18"/>
          <w:szCs w:val="18"/>
        </w:rPr>
        <w:t xml:space="preserve">Before making an investment, investors should read the relevant Prospectus and the Key Investor Information Document / scheme documents, which provide full product details including investment charges and risks. The information contained herein is not a substitute for those documents or for professional external advice. </w:t>
      </w:r>
    </w:p>
    <w:p w14:paraId="5D9D8257" w14:textId="08F0C1D7" w:rsidR="00735785" w:rsidRPr="002D2AA4" w:rsidRDefault="006B172F" w:rsidP="006B172F">
      <w:pPr>
        <w:jc w:val="both"/>
        <w:rPr>
          <w:rFonts w:asciiTheme="minorHAnsi" w:hAnsiTheme="minorHAnsi" w:cs="Arial"/>
          <w:sz w:val="18"/>
          <w:szCs w:val="18"/>
        </w:rPr>
      </w:pPr>
      <w:r w:rsidRPr="002D2AA4">
        <w:rPr>
          <w:rFonts w:asciiTheme="minorHAnsi" w:hAnsiTheme="minorHAnsi" w:cs="Arial"/>
          <w:sz w:val="18"/>
          <w:szCs w:val="18"/>
        </w:rPr>
        <w:t xml:space="preserve">The product or strategy discussed in this document may not be registered nor available in your jurisdiction. Please check the countries of registration with the asset manager, or on the local web sites </w:t>
      </w:r>
      <w:hyperlink r:id="rId20" w:history="1">
        <w:r w:rsidR="00262722" w:rsidRPr="002D2AA4">
          <w:rPr>
            <w:rStyle w:val="Hyperlink"/>
            <w:rFonts w:asciiTheme="minorHAnsi" w:hAnsiTheme="minorHAnsi" w:cs="Arial"/>
            <w:sz w:val="18"/>
            <w:szCs w:val="18"/>
          </w:rPr>
          <w:t>https://www.axa-im.com/en/</w:t>
        </w:r>
      </w:hyperlink>
      <w:r w:rsidRPr="002D2AA4">
        <w:rPr>
          <w:rFonts w:asciiTheme="minorHAnsi" w:hAnsiTheme="minorHAnsi" w:cs="Arial"/>
          <w:sz w:val="18"/>
          <w:szCs w:val="18"/>
        </w:rPr>
        <w:t xml:space="preserve"> , where the funds and share classes published are filtered according to country of registration and investors’ profile. In particular units of the funds may not be offered, sold or delivered to U.S. Persons within the meaning of Regulation S of the U.S. Securities Act of 1933. The tax treatment relating to the holding, acquisition or disposal of shares or units in the fund depends on each investor’s tax status or treatment and may be subject to change. Any potential investor is strongly encouraged to seek advice from its own tax advisors.</w:t>
      </w:r>
    </w:p>
    <w:p w14:paraId="72FE2B82" w14:textId="77777777" w:rsidR="00444EE2" w:rsidRPr="002D2AA4" w:rsidRDefault="00444EE2" w:rsidP="006B172F">
      <w:pPr>
        <w:jc w:val="both"/>
        <w:rPr>
          <w:rFonts w:asciiTheme="minorHAnsi" w:hAnsiTheme="minorHAnsi" w:cs="Arial"/>
          <w:sz w:val="18"/>
          <w:szCs w:val="18"/>
        </w:rPr>
      </w:pPr>
    </w:p>
    <w:p w14:paraId="031CC054" w14:textId="7BF9A1B9" w:rsidR="006506CD" w:rsidRPr="002D2AA4" w:rsidRDefault="00444EE2" w:rsidP="006506CD">
      <w:pPr>
        <w:jc w:val="both"/>
        <w:rPr>
          <w:rFonts w:asciiTheme="minorHAnsi" w:hAnsiTheme="minorHAnsi" w:cstheme="minorHAnsi"/>
          <w:sz w:val="18"/>
          <w:szCs w:val="18"/>
        </w:rPr>
      </w:pPr>
      <w:r w:rsidRPr="002D2AA4">
        <w:rPr>
          <w:rFonts w:asciiTheme="minorHAnsi" w:hAnsiTheme="minorHAnsi" w:cs="Arial"/>
          <w:sz w:val="18"/>
          <w:szCs w:val="18"/>
        </w:rPr>
        <w:t>For investors located in the European Union: Please note that the management company reserves the right, at any time, to no longer market the product(s) mentioned in this communication in the European Union by filing a notification to its supervision authority, in accordance with European passport rules.</w:t>
      </w:r>
      <w:r w:rsidR="002D2AA4">
        <w:rPr>
          <w:rFonts w:asciiTheme="minorHAnsi" w:hAnsiTheme="minorHAnsi" w:cs="Arial"/>
          <w:sz w:val="18"/>
          <w:szCs w:val="18"/>
        </w:rPr>
        <w:t xml:space="preserve"> </w:t>
      </w:r>
      <w:r w:rsidR="006506CD" w:rsidRPr="002D2AA4">
        <w:rPr>
          <w:rFonts w:asciiTheme="minorHAnsi" w:hAnsiTheme="minorHAnsi" w:cstheme="minorHAnsi"/>
          <w:sz w:val="18"/>
          <w:szCs w:val="18"/>
        </w:rPr>
        <w:t xml:space="preserve">In the event of dissatisfaction with AXA Investment Managers products or services, you have the right to make a complaint, </w:t>
      </w:r>
      <w:bookmarkStart w:id="6" w:name="_Hlk177728031"/>
      <w:r w:rsidR="006506CD" w:rsidRPr="002D2AA4">
        <w:rPr>
          <w:rFonts w:asciiTheme="minorHAnsi" w:hAnsiTheme="minorHAnsi" w:cstheme="minorHAnsi"/>
          <w:sz w:val="18"/>
          <w:szCs w:val="18"/>
        </w:rPr>
        <w:t xml:space="preserve">either with the marketer or directly with the management company (more information on AXA IM complaints policy is available in English: https://www.axa-im.com/important-information/comments-and-complaints ). If you reside in one of the European Union countries, you also have the right to take legal or extra-judicial action at any time. The European online dispute resolution platform allows you to submit a complaint form (available at: https://ec.europa.eu/consumers/odr/main/index.cfm?event=main.home.chooseLanguage) and provides you with information on available means of redress (available at: </w:t>
      </w:r>
      <w:hyperlink r:id="rId21" w:history="1">
        <w:r w:rsidR="006506CD" w:rsidRPr="002D2AA4">
          <w:rPr>
            <w:rStyle w:val="Hyperlink"/>
            <w:rFonts w:asciiTheme="minorHAnsi" w:hAnsiTheme="minorHAnsi" w:cstheme="minorHAnsi"/>
            <w:sz w:val="18"/>
            <w:szCs w:val="18"/>
          </w:rPr>
          <w:t>https://ec.europa.eu/consumers/odr/main/?event=main.adr.show2</w:t>
        </w:r>
      </w:hyperlink>
      <w:bookmarkEnd w:id="6"/>
      <w:r w:rsidR="006506CD" w:rsidRPr="002D2AA4">
        <w:rPr>
          <w:rFonts w:asciiTheme="minorHAnsi" w:hAnsiTheme="minorHAnsi" w:cstheme="minorHAnsi"/>
          <w:sz w:val="18"/>
          <w:szCs w:val="18"/>
        </w:rPr>
        <w:t>).</w:t>
      </w:r>
    </w:p>
    <w:p w14:paraId="59E7E07C" w14:textId="7BF91557" w:rsidR="006B172F" w:rsidRPr="002D2AA4" w:rsidRDefault="00735785" w:rsidP="006B172F">
      <w:pPr>
        <w:rPr>
          <w:rFonts w:asciiTheme="minorHAnsi" w:hAnsiTheme="minorHAnsi" w:cs="Arial"/>
          <w:sz w:val="18"/>
          <w:szCs w:val="18"/>
        </w:rPr>
      </w:pPr>
      <w:r w:rsidRPr="002D2AA4">
        <w:rPr>
          <w:rFonts w:asciiTheme="minorHAnsi" w:hAnsiTheme="minorHAnsi" w:cstheme="minorHAnsi"/>
          <w:sz w:val="18"/>
          <w:szCs w:val="18"/>
        </w:rPr>
        <w:t>Summary of investor rights in English is available on AXA IM website https://www.axa-im.com/important-information/summary-investor-rights. Translations into other languages are available on local AXA IM entities’ websites.</w:t>
      </w:r>
    </w:p>
    <w:p w14:paraId="737C2329" w14:textId="0881F990" w:rsidR="000165BD" w:rsidRPr="002D2AA4" w:rsidRDefault="00FB1FA5" w:rsidP="000165BD">
      <w:pPr>
        <w:rPr>
          <w:rFonts w:asciiTheme="minorHAnsi" w:hAnsiTheme="minorHAnsi" w:cs="Arial"/>
          <w:sz w:val="18"/>
          <w:szCs w:val="18"/>
        </w:rPr>
      </w:pPr>
      <w:r w:rsidRPr="002D2AA4">
        <w:rPr>
          <w:rFonts w:asciiTheme="minorHAnsi" w:hAnsiTheme="minorHAnsi" w:cs="Arial"/>
          <w:sz w:val="18"/>
          <w:szCs w:val="18"/>
        </w:rPr>
        <w:t xml:space="preserve">For more information on sustainability-related aspects please visit </w:t>
      </w:r>
      <w:hyperlink r:id="rId22" w:history="1">
        <w:r w:rsidRPr="002D2AA4">
          <w:rPr>
            <w:rStyle w:val="Hyperlink"/>
            <w:rFonts w:asciiTheme="minorHAnsi" w:hAnsiTheme="minorHAnsi" w:cs="Arial"/>
            <w:sz w:val="18"/>
            <w:szCs w:val="18"/>
          </w:rPr>
          <w:t>https://www.axa-im.com/what-is-sfdr</w:t>
        </w:r>
      </w:hyperlink>
      <w:r w:rsidRPr="002D2AA4">
        <w:rPr>
          <w:rFonts w:asciiTheme="minorHAnsi" w:hAnsiTheme="minorHAnsi" w:cs="Arial"/>
          <w:sz w:val="18"/>
          <w:szCs w:val="18"/>
        </w:rPr>
        <w:t>.</w:t>
      </w:r>
      <w:r w:rsidR="000165BD" w:rsidRPr="002D2AA4">
        <w:rPr>
          <w:rFonts w:asciiTheme="minorHAnsi" w:hAnsiTheme="minorHAnsi" w:cs="Arial"/>
          <w:sz w:val="18"/>
          <w:szCs w:val="18"/>
        </w:rPr>
        <w:t xml:space="preserve"> The classification of AXA IM Emerging Markets Credit PAB UCITS ETF under SFDR may be subject to adjustments and amendments, since SFDR has come into force recently only and certain aspects of SFDR may be subject to new and/or different interpretations than those existing at the date of this [Prospectus]. As part of the ongoing assessment and current process of classifying its financial products under SFDR, [the Manager] reserves the right, in accordance with and within the limits of applicable regulations and of the AXA IM Emerging Markets Credit PAB UCITS ETF’s [legal documentation], to amend the classification of the Funds from time to time to reflect changes in market practice, its own </w:t>
      </w:r>
      <w:r w:rsidR="000165BD" w:rsidRPr="002D2AA4">
        <w:rPr>
          <w:rFonts w:asciiTheme="minorHAnsi" w:hAnsiTheme="minorHAnsi" w:cs="Arial"/>
          <w:sz w:val="18"/>
          <w:szCs w:val="18"/>
        </w:rPr>
        <w:lastRenderedPageBreak/>
        <w:t>interpretations, SFDR-related laws or regulations or currently-applicable delegated regulations, communications from national or European authorities or court decisions clarifying SFDR interpretations. Investors are reminded that they should not base their investment decisions on the information presented under SFDR only.</w:t>
      </w:r>
    </w:p>
    <w:p w14:paraId="0992F2AA" w14:textId="7C5DC637" w:rsidR="006B172F" w:rsidRPr="002D2AA4" w:rsidRDefault="006B172F" w:rsidP="006B172F">
      <w:pPr>
        <w:rPr>
          <w:rFonts w:asciiTheme="minorHAnsi" w:hAnsiTheme="minorHAnsi" w:cs="Arial"/>
          <w:sz w:val="18"/>
          <w:szCs w:val="18"/>
        </w:rPr>
      </w:pPr>
    </w:p>
    <w:p w14:paraId="5678870A" w14:textId="705F3A2F" w:rsidR="00BE250A" w:rsidRPr="002D2AA4" w:rsidRDefault="00BE250A" w:rsidP="00BE250A">
      <w:pPr>
        <w:jc w:val="both"/>
        <w:rPr>
          <w:rFonts w:asciiTheme="minorHAnsi" w:hAnsiTheme="minorHAnsi" w:cs="Arial"/>
          <w:sz w:val="18"/>
          <w:szCs w:val="18"/>
        </w:rPr>
      </w:pPr>
      <w:r w:rsidRPr="002D2AA4">
        <w:rPr>
          <w:rFonts w:asciiTheme="minorHAnsi" w:hAnsiTheme="minorHAnsi" w:cs="Arial"/>
          <w:sz w:val="18"/>
          <w:szCs w:val="18"/>
        </w:rPr>
        <w:t>UCITS ETF’s units / shares purchased on the secondary market cannot usually be sold directly back UCITS ETF. Investors must buy and sell units / shares on a secondary market with the assistance of an intermediary (e.g. a stockbroker) and may incur fees for doing so. In addition, investors may pay more than the current net asset value when buying units / shares and may receive less than the current net asset value when selling them.</w:t>
      </w:r>
    </w:p>
    <w:p w14:paraId="023B1942" w14:textId="77777777" w:rsidR="00266340" w:rsidRPr="002D2AA4" w:rsidRDefault="00266340" w:rsidP="00BE250A">
      <w:pPr>
        <w:jc w:val="both"/>
        <w:rPr>
          <w:rFonts w:asciiTheme="minorHAnsi" w:hAnsiTheme="minorHAnsi" w:cs="Arial"/>
          <w:sz w:val="18"/>
          <w:szCs w:val="18"/>
        </w:rPr>
      </w:pPr>
    </w:p>
    <w:p w14:paraId="159C42B8" w14:textId="140863DB" w:rsidR="00735785" w:rsidRPr="002D2AA4" w:rsidRDefault="00735785" w:rsidP="00B50235">
      <w:pPr>
        <w:jc w:val="both"/>
        <w:rPr>
          <w:rFonts w:asciiTheme="minorHAnsi" w:hAnsiTheme="minorHAnsi" w:cs="Arial"/>
          <w:sz w:val="18"/>
          <w:szCs w:val="18"/>
        </w:rPr>
      </w:pPr>
      <w:r w:rsidRPr="002D2AA4">
        <w:rPr>
          <w:rFonts w:asciiTheme="minorHAnsi" w:hAnsiTheme="minorHAnsi" w:cs="Arial"/>
          <w:sz w:val="18"/>
          <w:szCs w:val="18"/>
        </w:rPr>
        <w:t xml:space="preserve">AXA IM Emerging Markets Credit PAB UCITS ETF is a sub-fund of the Irish-domiciled ICAV AXA IM ETF with registered address at 33 Sir John Rogerson’s Quay, Dublin 2, Ireland, and registered with the Central Bank of Ireland under the number C469468. AXA IM ETF ICAV is a collective asset-management vehicle under the European UCITS directive. It is managed by AXA Investment Managers Paris, a company incorporated under the laws of France, having its registered office located at Tour </w:t>
      </w:r>
      <w:proofErr w:type="spellStart"/>
      <w:r w:rsidRPr="002D2AA4">
        <w:rPr>
          <w:rFonts w:asciiTheme="minorHAnsi" w:hAnsiTheme="minorHAnsi" w:cs="Arial"/>
          <w:sz w:val="18"/>
          <w:szCs w:val="18"/>
        </w:rPr>
        <w:t>Majunga</w:t>
      </w:r>
      <w:proofErr w:type="spellEnd"/>
      <w:r w:rsidRPr="002D2AA4">
        <w:rPr>
          <w:rFonts w:asciiTheme="minorHAnsi" w:hAnsiTheme="minorHAnsi" w:cs="Arial"/>
          <w:sz w:val="18"/>
          <w:szCs w:val="18"/>
        </w:rPr>
        <w:t xml:space="preserve">, 6 place de la </w:t>
      </w:r>
      <w:proofErr w:type="spellStart"/>
      <w:r w:rsidRPr="002D2AA4">
        <w:rPr>
          <w:rFonts w:asciiTheme="minorHAnsi" w:hAnsiTheme="minorHAnsi" w:cs="Arial"/>
          <w:sz w:val="18"/>
          <w:szCs w:val="18"/>
        </w:rPr>
        <w:t>Pyramide</w:t>
      </w:r>
      <w:proofErr w:type="spellEnd"/>
      <w:r w:rsidRPr="002D2AA4">
        <w:rPr>
          <w:rFonts w:asciiTheme="minorHAnsi" w:hAnsiTheme="minorHAnsi" w:cs="Arial"/>
          <w:sz w:val="18"/>
          <w:szCs w:val="18"/>
        </w:rPr>
        <w:t xml:space="preserve">, 92800 </w:t>
      </w:r>
      <w:proofErr w:type="spellStart"/>
      <w:r w:rsidRPr="002D2AA4">
        <w:rPr>
          <w:rFonts w:asciiTheme="minorHAnsi" w:hAnsiTheme="minorHAnsi" w:cs="Arial"/>
          <w:sz w:val="18"/>
          <w:szCs w:val="18"/>
        </w:rPr>
        <w:t>Puteaux</w:t>
      </w:r>
      <w:proofErr w:type="spellEnd"/>
      <w:r w:rsidRPr="002D2AA4">
        <w:rPr>
          <w:rFonts w:asciiTheme="minorHAnsi" w:hAnsiTheme="minorHAnsi" w:cs="Arial"/>
          <w:sz w:val="18"/>
          <w:szCs w:val="18"/>
        </w:rPr>
        <w:t>, registered with the Nanterre Trade and Companies Register under number 353 534 506, and a Portfolio Management Company, holder of AMF approval no. GP 92008, issued on 7 April 1992.</w:t>
      </w:r>
    </w:p>
    <w:p w14:paraId="5E7F606E" w14:textId="77777777" w:rsidR="00BE250A" w:rsidRPr="002D2AA4" w:rsidRDefault="00BE250A" w:rsidP="006B172F">
      <w:pPr>
        <w:rPr>
          <w:rFonts w:asciiTheme="minorHAnsi" w:hAnsiTheme="minorHAnsi" w:cs="Arial"/>
          <w:sz w:val="18"/>
          <w:szCs w:val="18"/>
        </w:rPr>
      </w:pPr>
    </w:p>
    <w:p w14:paraId="17484F00" w14:textId="143C66BE" w:rsidR="00BE250A" w:rsidRPr="002D2AA4" w:rsidRDefault="00BE250A" w:rsidP="00BE250A">
      <w:pPr>
        <w:jc w:val="both"/>
        <w:rPr>
          <w:rFonts w:asciiTheme="minorHAnsi" w:hAnsiTheme="minorHAnsi" w:cs="Arial"/>
          <w:sz w:val="18"/>
          <w:szCs w:val="18"/>
        </w:rPr>
      </w:pPr>
      <w:r w:rsidRPr="002D2AA4">
        <w:rPr>
          <w:rFonts w:asciiTheme="minorHAnsi" w:hAnsiTheme="minorHAnsi" w:cs="Arial"/>
          <w:sz w:val="18"/>
          <w:szCs w:val="18"/>
        </w:rPr>
        <w:t xml:space="preserve">Source ICE Data indices, LLC (“ICE Data”), is used with permission. ICE® is a registered trademark of ice data or its affiliates, and </w:t>
      </w:r>
      <w:proofErr w:type="spellStart"/>
      <w:r w:rsidRPr="002D2AA4">
        <w:rPr>
          <w:rFonts w:asciiTheme="minorHAnsi" w:hAnsiTheme="minorHAnsi" w:cs="Arial"/>
          <w:sz w:val="18"/>
          <w:szCs w:val="18"/>
        </w:rPr>
        <w:t>BofA</w:t>
      </w:r>
      <w:proofErr w:type="spellEnd"/>
      <w:r w:rsidRPr="002D2AA4">
        <w:rPr>
          <w:rFonts w:asciiTheme="minorHAnsi" w:hAnsiTheme="minorHAnsi" w:cs="Arial"/>
          <w:sz w:val="18"/>
          <w:szCs w:val="18"/>
        </w:rPr>
        <w:t>® is a registered trademark of Bank of America Corporation licensed by Bank of America Corporation and its affiliates ("</w:t>
      </w:r>
      <w:proofErr w:type="spellStart"/>
      <w:r w:rsidRPr="002D2AA4">
        <w:rPr>
          <w:rFonts w:asciiTheme="minorHAnsi" w:hAnsiTheme="minorHAnsi" w:cs="Arial"/>
          <w:sz w:val="18"/>
          <w:szCs w:val="18"/>
        </w:rPr>
        <w:t>BofA</w:t>
      </w:r>
      <w:proofErr w:type="spellEnd"/>
      <w:r w:rsidRPr="002D2AA4">
        <w:rPr>
          <w:rFonts w:asciiTheme="minorHAnsi" w:hAnsiTheme="minorHAnsi" w:cs="Arial"/>
          <w:sz w:val="18"/>
          <w:szCs w:val="18"/>
        </w:rPr>
        <w:t xml:space="preserve">") and may not be used without </w:t>
      </w:r>
      <w:proofErr w:type="spellStart"/>
      <w:r w:rsidRPr="002D2AA4">
        <w:rPr>
          <w:rFonts w:asciiTheme="minorHAnsi" w:hAnsiTheme="minorHAnsi" w:cs="Arial"/>
          <w:sz w:val="18"/>
          <w:szCs w:val="18"/>
        </w:rPr>
        <w:t>BofA's</w:t>
      </w:r>
      <w:proofErr w:type="spellEnd"/>
      <w:r w:rsidRPr="002D2AA4">
        <w:rPr>
          <w:rFonts w:asciiTheme="minorHAnsi" w:hAnsiTheme="minorHAnsi" w:cs="Arial"/>
          <w:sz w:val="18"/>
          <w:szCs w:val="18"/>
        </w:rPr>
        <w:t xml:space="preserve"> prior written approval. ICE Data, its affiliates and their respective third party suppliers disclaim any and all warranties and representations, express and/or implied, including any warranties of merchantability or fitness for a particular purpose or use, including the indices, index data and any data included in, related to, or derived therefrom. Neither ice data, its affiliates nor their respective third party suppliers shall be subject to any damages or liability with respect to the adequacy, accuracy, timeliness or completeness of the indices or the index data or any component thereof, and the indices and index data and all components thereof are provided on an “as is” basis and your use is at your own risk. ICE Data, its affiliates and their respective third party suppliers do not sponsor, endorse, or recommend AXA Investment Managers, or any of its products or services.</w:t>
      </w:r>
    </w:p>
    <w:p w14:paraId="1031BE0F" w14:textId="77777777" w:rsidR="00BE250A" w:rsidRPr="002D2AA4" w:rsidRDefault="00BE250A" w:rsidP="00BE250A">
      <w:pPr>
        <w:jc w:val="both"/>
        <w:rPr>
          <w:rFonts w:asciiTheme="minorHAnsi" w:hAnsiTheme="minorHAnsi" w:cs="Arial"/>
          <w:sz w:val="18"/>
          <w:szCs w:val="18"/>
        </w:rPr>
      </w:pPr>
    </w:p>
    <w:p w14:paraId="4AE1774D" w14:textId="77777777" w:rsidR="006F5F72" w:rsidRPr="006F5F72" w:rsidRDefault="00BE250A" w:rsidP="006F5F72">
      <w:pPr>
        <w:jc w:val="both"/>
        <w:rPr>
          <w:rFonts w:asciiTheme="minorHAnsi" w:hAnsiTheme="minorHAnsi" w:cs="Arial"/>
          <w:sz w:val="18"/>
          <w:szCs w:val="18"/>
        </w:rPr>
      </w:pPr>
      <w:proofErr w:type="spellStart"/>
      <w:r w:rsidRPr="003E6C20">
        <w:rPr>
          <w:rFonts w:asciiTheme="minorHAnsi" w:hAnsiTheme="minorHAnsi" w:cs="Arial"/>
          <w:sz w:val="18"/>
          <w:szCs w:val="18"/>
          <w:lang w:val="fr-FR"/>
        </w:rPr>
        <w:t>Issued</w:t>
      </w:r>
      <w:proofErr w:type="spellEnd"/>
      <w:r w:rsidRPr="003E6C20">
        <w:rPr>
          <w:rFonts w:asciiTheme="minorHAnsi" w:hAnsiTheme="minorHAnsi" w:cs="Arial"/>
          <w:sz w:val="18"/>
          <w:szCs w:val="18"/>
          <w:lang w:val="fr-FR"/>
        </w:rPr>
        <w:t xml:space="preserve"> by AXA Investment Managers Paris – Tour Majunga – 6, place de la Pyramide – 92908 Paris La Défense cedex, France.</w:t>
      </w:r>
      <w:r w:rsidR="006F5F72">
        <w:rPr>
          <w:rFonts w:asciiTheme="minorHAnsi" w:hAnsiTheme="minorHAnsi" w:cs="Arial"/>
          <w:sz w:val="18"/>
          <w:szCs w:val="18"/>
          <w:lang w:val="fr-FR"/>
        </w:rPr>
        <w:t xml:space="preserve"> </w:t>
      </w:r>
      <w:r w:rsidR="006F5F72" w:rsidRPr="006F5F72">
        <w:rPr>
          <w:rFonts w:asciiTheme="minorHAnsi" w:hAnsiTheme="minorHAnsi" w:cs="Arial"/>
          <w:sz w:val="18"/>
          <w:szCs w:val="18"/>
        </w:rPr>
        <w:t xml:space="preserve">Distributed in Belgium and Luxembourg by AXA IM Benelux, a company incorporated under Belgian law with its registered office at Place du </w:t>
      </w:r>
      <w:proofErr w:type="spellStart"/>
      <w:r w:rsidR="006F5F72" w:rsidRPr="006F5F72">
        <w:rPr>
          <w:rFonts w:asciiTheme="minorHAnsi" w:hAnsiTheme="minorHAnsi" w:cs="Arial"/>
          <w:sz w:val="18"/>
          <w:szCs w:val="18"/>
        </w:rPr>
        <w:t>Trône</w:t>
      </w:r>
      <w:proofErr w:type="spellEnd"/>
      <w:r w:rsidR="006F5F72" w:rsidRPr="006F5F72">
        <w:rPr>
          <w:rFonts w:asciiTheme="minorHAnsi" w:hAnsiTheme="minorHAnsi" w:cs="Arial"/>
          <w:sz w:val="18"/>
          <w:szCs w:val="18"/>
        </w:rPr>
        <w:t>, 1, B-1000 Brussels, registered in the Brussels Trade Register under number 604.173.</w:t>
      </w:r>
    </w:p>
    <w:p w14:paraId="70CDF54B" w14:textId="46AAAB79" w:rsidR="00BE250A" w:rsidRPr="006F5F72" w:rsidRDefault="006F5F72" w:rsidP="006F5F72">
      <w:pPr>
        <w:jc w:val="both"/>
        <w:rPr>
          <w:rFonts w:asciiTheme="minorHAnsi" w:hAnsiTheme="minorHAnsi" w:cs="Arial"/>
          <w:sz w:val="18"/>
          <w:szCs w:val="18"/>
        </w:rPr>
      </w:pPr>
      <w:r w:rsidRPr="006F5F72">
        <w:rPr>
          <w:rFonts w:asciiTheme="minorHAnsi" w:hAnsiTheme="minorHAnsi" w:cs="Arial"/>
          <w:sz w:val="18"/>
          <w:szCs w:val="18"/>
        </w:rPr>
        <w:t>© AXA Investment Managers 2024. All rights reserved.</w:t>
      </w:r>
    </w:p>
    <w:p w14:paraId="19FE0406" w14:textId="77777777" w:rsidR="0037628C" w:rsidRPr="006F5F72" w:rsidRDefault="0037628C" w:rsidP="00B30D03">
      <w:pPr>
        <w:pStyle w:val="currenttext"/>
        <w:spacing w:line="360" w:lineRule="auto"/>
        <w:rPr>
          <w:rFonts w:asciiTheme="minorHAnsi" w:hAnsiTheme="minorHAnsi"/>
          <w:b/>
          <w:color w:val="auto"/>
          <w:sz w:val="18"/>
          <w:szCs w:val="18"/>
          <w:lang w:val="en-GB"/>
        </w:rPr>
      </w:pPr>
    </w:p>
    <w:sectPr w:rsidR="0037628C" w:rsidRPr="006F5F72" w:rsidSect="00263258">
      <w:footerReference w:type="even" r:id="rId23"/>
      <w:footerReference w:type="default" r:id="rId24"/>
      <w:footerReference w:type="first" r:id="rId25"/>
      <w:type w:val="continuous"/>
      <w:pgSz w:w="11906" w:h="16838"/>
      <w:pgMar w:top="2694" w:right="851" w:bottom="142" w:left="851" w:header="709" w:footer="567" w:gutter="0"/>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385E" w14:textId="77777777" w:rsidR="009621DD" w:rsidRDefault="009621DD" w:rsidP="00B62251">
      <w:r>
        <w:separator/>
      </w:r>
    </w:p>
  </w:endnote>
  <w:endnote w:type="continuationSeparator" w:id="0">
    <w:p w14:paraId="2A0416CF" w14:textId="77777777" w:rsidR="009621DD" w:rsidRDefault="009621DD" w:rsidP="00B6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enturyGothic-Bold">
    <w:altName w:val="Times New Roman"/>
    <w:charset w:val="00"/>
    <w:family w:val="auto"/>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A360" w14:textId="3A05F390" w:rsidR="00F64C96" w:rsidRDefault="00F64C96">
    <w:pPr>
      <w:pStyle w:val="Footer"/>
    </w:pPr>
    <w:r>
      <w:rPr>
        <w:noProof/>
      </w:rPr>
      <mc:AlternateContent>
        <mc:Choice Requires="wps">
          <w:drawing>
            <wp:anchor distT="0" distB="0" distL="0" distR="0" simplePos="0" relativeHeight="251707904" behindDoc="0" locked="0" layoutInCell="1" allowOverlap="1" wp14:anchorId="115DA053" wp14:editId="374CBC13">
              <wp:simplePos x="635" y="635"/>
              <wp:positionH relativeFrom="page">
                <wp:align>center</wp:align>
              </wp:positionH>
              <wp:positionV relativeFrom="page">
                <wp:align>bottom</wp:align>
              </wp:positionV>
              <wp:extent cx="443865" cy="443865"/>
              <wp:effectExtent l="0" t="0" r="4445" b="0"/>
              <wp:wrapNone/>
              <wp:docPr id="5" name="Zone de texte 5" descr="AXA IM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795E4" w14:textId="70CE24FD"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DA053" id="_x0000_t202" coordsize="21600,21600" o:spt="202" path="m,l,21600r21600,l21600,xe">
              <v:stroke joinstyle="miter"/>
              <v:path gradientshapeok="t" o:connecttype="rect"/>
            </v:shapetype>
            <v:shape id="Zone de texte 5" o:spid="_x0000_s1026" type="#_x0000_t202" alt="AXA IM - RESTRICTED" style="position:absolute;margin-left:0;margin-top:0;width:34.95pt;height:34.95pt;z-index:251707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1C795E4" w14:textId="70CE24FD"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BEAC8" w14:textId="19493CBA" w:rsidR="0064613F" w:rsidRPr="00576B5C" w:rsidRDefault="00F64C96" w:rsidP="00576B5C">
    <w:pPr>
      <w:pStyle w:val="Footer"/>
      <w:tabs>
        <w:tab w:val="clear" w:pos="9026"/>
        <w:tab w:val="right" w:pos="10206"/>
      </w:tabs>
      <w:rPr>
        <w:noProof/>
        <w:sz w:val="16"/>
        <w:szCs w:val="16"/>
      </w:rPr>
    </w:pPr>
    <w:r>
      <w:rPr>
        <w:bCs w:val="0"/>
        <w:i/>
        <w:noProof/>
        <w:sz w:val="16"/>
        <w:szCs w:val="16"/>
      </w:rPr>
      <mc:AlternateContent>
        <mc:Choice Requires="wps">
          <w:drawing>
            <wp:anchor distT="0" distB="0" distL="0" distR="0" simplePos="0" relativeHeight="251708928" behindDoc="0" locked="0" layoutInCell="1" allowOverlap="1" wp14:anchorId="29AB5E39" wp14:editId="0FB35737">
              <wp:simplePos x="635" y="635"/>
              <wp:positionH relativeFrom="page">
                <wp:align>center</wp:align>
              </wp:positionH>
              <wp:positionV relativeFrom="page">
                <wp:align>bottom</wp:align>
              </wp:positionV>
              <wp:extent cx="443865" cy="443865"/>
              <wp:effectExtent l="0" t="0" r="4445" b="0"/>
              <wp:wrapNone/>
              <wp:docPr id="6" name="Zone de texte 6" descr="AXA IM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B7C7F" w14:textId="4B64049B"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B5E39" id="_x0000_t202" coordsize="21600,21600" o:spt="202" path="m,l,21600r21600,l21600,xe">
              <v:stroke joinstyle="miter"/>
              <v:path gradientshapeok="t" o:connecttype="rect"/>
            </v:shapetype>
            <v:shape id="Zone de texte 6" o:spid="_x0000_s1027" type="#_x0000_t202" alt="AXA IM - RESTRICTED" style="position:absolute;margin-left:0;margin-top:0;width:34.95pt;height:34.95pt;z-index:251708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B7B7C7F" w14:textId="4B64049B"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v:textbox>
              <w10:wrap anchorx="page" anchory="page"/>
            </v:shape>
          </w:pict>
        </mc:Fallback>
      </mc:AlternateContent>
    </w:r>
    <w:r w:rsidR="0064613F">
      <w:rPr>
        <w:rStyle w:val="SourceChar"/>
      </w:rPr>
      <w:t>Source: […]</w:t>
    </w:r>
    <w:r w:rsidR="0064613F">
      <w:rPr>
        <w:rStyle w:val="SourceChar"/>
      </w:rPr>
      <w:br/>
      <w:t>[First page c</w:t>
    </w:r>
    <w:r w:rsidR="0064613F" w:rsidRPr="00AC0834">
      <w:rPr>
        <w:rStyle w:val="SourceChar"/>
      </w:rPr>
      <w:t>ompliance details first row</w:t>
    </w:r>
    <w:r w:rsidR="0064613F" w:rsidRPr="00AC0834">
      <w:rPr>
        <w:rStyle w:val="SourceChar"/>
      </w:rPr>
      <w:br/>
      <w:t>Second row]</w:t>
    </w:r>
    <w:r w:rsidR="0064613F">
      <w:rPr>
        <w:rStyle w:val="SourceChar"/>
      </w:rPr>
      <w:tab/>
    </w:r>
    <w:r w:rsidR="0064613F">
      <w:rPr>
        <w:rStyle w:val="SourceChar"/>
      </w:rPr>
      <w:tab/>
    </w:r>
    <w:r w:rsidR="0064613F" w:rsidRPr="00F83BBE">
      <w:rPr>
        <w:sz w:val="16"/>
        <w:szCs w:val="16"/>
      </w:rPr>
      <w:fldChar w:fldCharType="begin"/>
    </w:r>
    <w:r w:rsidR="0064613F" w:rsidRPr="00F83BBE">
      <w:rPr>
        <w:sz w:val="16"/>
        <w:szCs w:val="16"/>
      </w:rPr>
      <w:instrText xml:space="preserve"> PAGE   \* MERGEFORMAT </w:instrText>
    </w:r>
    <w:r w:rsidR="0064613F" w:rsidRPr="00F83BBE">
      <w:rPr>
        <w:sz w:val="16"/>
        <w:szCs w:val="16"/>
      </w:rPr>
      <w:fldChar w:fldCharType="separate"/>
    </w:r>
    <w:r w:rsidR="0064613F">
      <w:rPr>
        <w:noProof/>
        <w:sz w:val="16"/>
        <w:szCs w:val="16"/>
      </w:rPr>
      <w:t>1</w:t>
    </w:r>
    <w:r w:rsidR="0064613F" w:rsidRPr="00F83BBE">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2033" w14:textId="081B9D78" w:rsidR="0064613F" w:rsidRPr="00A142A4" w:rsidRDefault="00F64C96" w:rsidP="00911E4B">
    <w:pPr>
      <w:pStyle w:val="Footer"/>
      <w:tabs>
        <w:tab w:val="clear" w:pos="9026"/>
        <w:tab w:val="right" w:pos="10206"/>
      </w:tabs>
      <w:rPr>
        <w:noProof/>
        <w:sz w:val="16"/>
        <w:szCs w:val="16"/>
      </w:rPr>
    </w:pPr>
    <w:r>
      <w:rPr>
        <w:bCs w:val="0"/>
        <w:i/>
        <w:noProof/>
        <w:sz w:val="16"/>
        <w:szCs w:val="16"/>
        <w:lang w:val="fr-FR"/>
      </w:rPr>
      <mc:AlternateContent>
        <mc:Choice Requires="wps">
          <w:drawing>
            <wp:anchor distT="0" distB="0" distL="0" distR="0" simplePos="0" relativeHeight="251706880" behindDoc="0" locked="0" layoutInCell="1" allowOverlap="1" wp14:anchorId="2674BF1D" wp14:editId="53AB43EA">
              <wp:simplePos x="504825" y="10210800"/>
              <wp:positionH relativeFrom="page">
                <wp:align>center</wp:align>
              </wp:positionH>
              <wp:positionV relativeFrom="page">
                <wp:align>bottom</wp:align>
              </wp:positionV>
              <wp:extent cx="443865" cy="443865"/>
              <wp:effectExtent l="0" t="0" r="4445" b="0"/>
              <wp:wrapNone/>
              <wp:docPr id="4" name="Zone de texte 4" descr="AXA IM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73EBA" w14:textId="0B1E5704"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74BF1D" id="_x0000_t202" coordsize="21600,21600" o:spt="202" path="m,l,21600r21600,l21600,xe">
              <v:stroke joinstyle="miter"/>
              <v:path gradientshapeok="t" o:connecttype="rect"/>
            </v:shapetype>
            <v:shape id="Zone de texte 4" o:spid="_x0000_s1028" type="#_x0000_t202" alt="AXA IM - RESTRICTED" style="position:absolute;margin-left:0;margin-top:0;width:34.95pt;height:34.95pt;z-index:251706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A73EBA" w14:textId="0B1E5704"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v:textbox>
              <w10:wrap anchorx="page" anchory="page"/>
            </v:shape>
          </w:pict>
        </mc:Fallback>
      </mc:AlternateContent>
    </w:r>
    <w:r w:rsidR="0064613F" w:rsidRPr="00911E4B">
      <w:rPr>
        <w:rStyle w:val="SourceChar"/>
        <w:lang w:val="fr-FR"/>
      </w:rPr>
      <w:tab/>
    </w:r>
    <w:r w:rsidR="0064613F" w:rsidRPr="00911E4B">
      <w:rPr>
        <w:rStyle w:val="SourceChar"/>
        <w:lang w:val="fr-FR"/>
      </w:rPr>
      <w:tab/>
    </w:r>
    <w:r w:rsidR="0064613F" w:rsidRPr="00F83BBE">
      <w:rPr>
        <w:sz w:val="16"/>
        <w:szCs w:val="16"/>
      </w:rPr>
      <w:fldChar w:fldCharType="begin"/>
    </w:r>
    <w:r w:rsidR="0064613F" w:rsidRPr="00911E4B">
      <w:rPr>
        <w:sz w:val="16"/>
        <w:szCs w:val="16"/>
        <w:lang w:val="fr-FR"/>
      </w:rPr>
      <w:instrText xml:space="preserve"> PAGE   \* MERGEFORMAT </w:instrText>
    </w:r>
    <w:r w:rsidR="0064613F" w:rsidRPr="00F83BBE">
      <w:rPr>
        <w:sz w:val="16"/>
        <w:szCs w:val="16"/>
      </w:rPr>
      <w:fldChar w:fldCharType="separate"/>
    </w:r>
    <w:r w:rsidR="0064613F" w:rsidRPr="009937BE">
      <w:rPr>
        <w:noProof/>
        <w:sz w:val="16"/>
        <w:szCs w:val="16"/>
      </w:rPr>
      <w:t>1</w:t>
    </w:r>
    <w:r w:rsidR="0064613F" w:rsidRPr="00F83BBE">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16FF" w14:textId="3B11E21D" w:rsidR="00F64C96" w:rsidRDefault="00F64C96">
    <w:pPr>
      <w:pStyle w:val="Footer"/>
    </w:pPr>
    <w:r>
      <w:rPr>
        <w:noProof/>
      </w:rPr>
      <mc:AlternateContent>
        <mc:Choice Requires="wps">
          <w:drawing>
            <wp:anchor distT="0" distB="0" distL="0" distR="0" simplePos="0" relativeHeight="251710976" behindDoc="0" locked="0" layoutInCell="1" allowOverlap="1" wp14:anchorId="381C5418" wp14:editId="0C79C68F">
              <wp:simplePos x="635" y="635"/>
              <wp:positionH relativeFrom="page">
                <wp:align>center</wp:align>
              </wp:positionH>
              <wp:positionV relativeFrom="page">
                <wp:align>bottom</wp:align>
              </wp:positionV>
              <wp:extent cx="443865" cy="443865"/>
              <wp:effectExtent l="0" t="0" r="4445" b="0"/>
              <wp:wrapNone/>
              <wp:docPr id="8" name="Zone de texte 8" descr="AXA IM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9FE5C" w14:textId="38DFF015"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C5418" id="_x0000_t202" coordsize="21600,21600" o:spt="202" path="m,l,21600r21600,l21600,xe">
              <v:stroke joinstyle="miter"/>
              <v:path gradientshapeok="t" o:connecttype="rect"/>
            </v:shapetype>
            <v:shape id="Zone de texte 8" o:spid="_x0000_s1029" type="#_x0000_t202" alt="AXA IM - RESTRICTED" style="position:absolute;margin-left:0;margin-top:0;width:34.95pt;height:34.95pt;z-index:251710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39FE5C" w14:textId="38DFF015"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C9E" w14:textId="74AC54D6" w:rsidR="0064613F" w:rsidRPr="00576B5C" w:rsidRDefault="00F64C96" w:rsidP="003A6D41">
    <w:pPr>
      <w:pStyle w:val="Footer"/>
      <w:tabs>
        <w:tab w:val="clear" w:pos="9026"/>
        <w:tab w:val="right" w:pos="10206"/>
      </w:tabs>
      <w:rPr>
        <w:noProof/>
        <w:sz w:val="16"/>
        <w:szCs w:val="16"/>
      </w:rPr>
    </w:pPr>
    <w:r>
      <w:rPr>
        <w:rFonts w:asciiTheme="minorHAnsi" w:hAnsiTheme="minorHAnsi"/>
        <w:bCs w:val="0"/>
        <w:i/>
        <w:noProof/>
        <w:sz w:val="16"/>
        <w:szCs w:val="16"/>
        <w:lang w:val="fr-FR"/>
      </w:rPr>
      <mc:AlternateContent>
        <mc:Choice Requires="wps">
          <w:drawing>
            <wp:anchor distT="0" distB="0" distL="0" distR="0" simplePos="0" relativeHeight="251712000" behindDoc="0" locked="0" layoutInCell="1" allowOverlap="1" wp14:anchorId="123F81DE" wp14:editId="53D71FEC">
              <wp:simplePos x="635" y="635"/>
              <wp:positionH relativeFrom="page">
                <wp:align>center</wp:align>
              </wp:positionH>
              <wp:positionV relativeFrom="page">
                <wp:align>bottom</wp:align>
              </wp:positionV>
              <wp:extent cx="443865" cy="443865"/>
              <wp:effectExtent l="0" t="0" r="4445" b="0"/>
              <wp:wrapNone/>
              <wp:docPr id="9" name="Zone de texte 9" descr="AXA IM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8ACE0" w14:textId="15BCF095"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3F81DE" id="_x0000_t202" coordsize="21600,21600" o:spt="202" path="m,l,21600r21600,l21600,xe">
              <v:stroke joinstyle="miter"/>
              <v:path gradientshapeok="t" o:connecttype="rect"/>
            </v:shapetype>
            <v:shape id="Zone de texte 9" o:spid="_x0000_s1030" type="#_x0000_t202" alt="AXA IM - RESTRICTED" style="position:absolute;margin-left:0;margin-top:0;width:34.95pt;height:34.95pt;z-index:251712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768ACE0" w14:textId="15BCF095"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v:textbox>
              <w10:wrap anchorx="page" anchory="page"/>
            </v:shape>
          </w:pict>
        </mc:Fallback>
      </mc:AlternateContent>
    </w:r>
    <w:r w:rsidR="0064613F" w:rsidRPr="003A6D41">
      <w:rPr>
        <w:rStyle w:val="SourceChar"/>
        <w:rFonts w:asciiTheme="minorHAnsi" w:hAnsiTheme="minorHAnsi"/>
        <w:lang w:val="fr-FR"/>
      </w:rPr>
      <w:tab/>
    </w:r>
    <w:r w:rsidR="0064613F" w:rsidRPr="003A6D41">
      <w:rPr>
        <w:rStyle w:val="SourceChar"/>
        <w:lang w:val="fr-FR"/>
      </w:rPr>
      <w:tab/>
    </w:r>
    <w:r w:rsidR="0064613F" w:rsidRPr="00F83BBE">
      <w:rPr>
        <w:sz w:val="16"/>
        <w:szCs w:val="16"/>
      </w:rPr>
      <w:fldChar w:fldCharType="begin"/>
    </w:r>
    <w:r w:rsidR="0064613F" w:rsidRPr="003A6D41">
      <w:rPr>
        <w:sz w:val="16"/>
        <w:szCs w:val="16"/>
        <w:lang w:val="fr-FR"/>
      </w:rPr>
      <w:instrText xml:space="preserve"> PAGE   \* MERGEFORMAT </w:instrText>
    </w:r>
    <w:r w:rsidR="0064613F" w:rsidRPr="00F83BBE">
      <w:rPr>
        <w:sz w:val="16"/>
        <w:szCs w:val="16"/>
      </w:rPr>
      <w:fldChar w:fldCharType="separate"/>
    </w:r>
    <w:r w:rsidR="0064613F" w:rsidRPr="009937BE">
      <w:rPr>
        <w:noProof/>
        <w:sz w:val="16"/>
        <w:szCs w:val="16"/>
      </w:rPr>
      <w:t>2</w:t>
    </w:r>
    <w:r w:rsidR="0064613F" w:rsidRPr="00F83BBE">
      <w:rPr>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2285" w14:textId="0868C073" w:rsidR="00F64C96" w:rsidRDefault="00F64C96">
    <w:pPr>
      <w:pStyle w:val="Footer"/>
    </w:pPr>
    <w:r>
      <w:rPr>
        <w:noProof/>
      </w:rPr>
      <mc:AlternateContent>
        <mc:Choice Requires="wps">
          <w:drawing>
            <wp:anchor distT="0" distB="0" distL="0" distR="0" simplePos="0" relativeHeight="251709952" behindDoc="0" locked="0" layoutInCell="1" allowOverlap="1" wp14:anchorId="35ABC116" wp14:editId="4EBD9EF5">
              <wp:simplePos x="635" y="635"/>
              <wp:positionH relativeFrom="page">
                <wp:align>center</wp:align>
              </wp:positionH>
              <wp:positionV relativeFrom="page">
                <wp:align>bottom</wp:align>
              </wp:positionV>
              <wp:extent cx="443865" cy="443865"/>
              <wp:effectExtent l="0" t="0" r="4445" b="0"/>
              <wp:wrapNone/>
              <wp:docPr id="7" name="Zone de texte 7" descr="AXA IM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80022" w14:textId="4F29C396"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ABC116" id="_x0000_t202" coordsize="21600,21600" o:spt="202" path="m,l,21600r21600,l21600,xe">
              <v:stroke joinstyle="miter"/>
              <v:path gradientshapeok="t" o:connecttype="rect"/>
            </v:shapetype>
            <v:shape id="Zone de texte 7" o:spid="_x0000_s1031" type="#_x0000_t202" alt="AXA IM - RESTRICTED" style="position:absolute;margin-left:0;margin-top:0;width:34.95pt;height:34.95pt;z-index:251709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F80022" w14:textId="4F29C396" w:rsidR="00F64C96" w:rsidRPr="00F64C96" w:rsidRDefault="00F64C96" w:rsidP="00F64C96">
                    <w:pPr>
                      <w:rPr>
                        <w:rFonts w:ascii="Calibri" w:hAnsi="Calibri" w:cs="Calibri"/>
                        <w:noProof/>
                        <w:color w:val="000000"/>
                      </w:rPr>
                    </w:pPr>
                    <w:r w:rsidRPr="00F64C96">
                      <w:rPr>
                        <w:rFonts w:ascii="Calibri" w:hAnsi="Calibri" w:cs="Calibri"/>
                        <w:noProof/>
                        <w:color w:val="000000"/>
                      </w:rPr>
                      <w:t>AXA IM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BED3D" w14:textId="77777777" w:rsidR="009621DD" w:rsidRDefault="009621DD" w:rsidP="00B62251">
      <w:r>
        <w:separator/>
      </w:r>
    </w:p>
  </w:footnote>
  <w:footnote w:type="continuationSeparator" w:id="0">
    <w:p w14:paraId="50245208" w14:textId="77777777" w:rsidR="009621DD" w:rsidRDefault="009621DD" w:rsidP="00B62251">
      <w:r>
        <w:continuationSeparator/>
      </w:r>
    </w:p>
  </w:footnote>
  <w:footnote w:id="1">
    <w:p w14:paraId="567EED9F" w14:textId="77777777" w:rsidR="005B74EB" w:rsidRPr="002D2AA4" w:rsidRDefault="005B74EB" w:rsidP="005B74EB">
      <w:pPr>
        <w:pStyle w:val="FootnoteText"/>
      </w:pPr>
      <w:r w:rsidRPr="002D2AA4">
        <w:rPr>
          <w:rStyle w:val="FootnoteReference"/>
        </w:rPr>
        <w:footnoteRef/>
      </w:r>
      <w:r w:rsidRPr="002D2AA4">
        <w:t xml:space="preserve"> Aligned with the objectives of the Paris Agreement</w:t>
      </w:r>
    </w:p>
  </w:footnote>
  <w:footnote w:id="2">
    <w:p w14:paraId="14EA8802" w14:textId="2DCCF623" w:rsidR="002F5D67" w:rsidRPr="002D2AA4" w:rsidRDefault="002F5D67">
      <w:pPr>
        <w:pStyle w:val="FootnoteText"/>
      </w:pPr>
      <w:r w:rsidRPr="002D2AA4">
        <w:rPr>
          <w:rStyle w:val="FootnoteReference"/>
        </w:rPr>
        <w:footnoteRef/>
      </w:r>
      <w:r w:rsidRPr="002D2AA4">
        <w:t xml:space="preserve"> </w:t>
      </w:r>
      <w:r w:rsidR="00AF0B19" w:rsidRPr="002D2AA4">
        <w:t>For more information, you can consult Regulation (EU) 2016/1011 of the European Parliament and of the Council of 8 June 2016 on indices used as benchmarks in financial instruments and contracts or to measure the performance of investment funds and amending Directives 2008/48/EC and 2014/17/EU and Regulation (EU) No 596/2014.</w:t>
      </w:r>
    </w:p>
  </w:footnote>
  <w:footnote w:id="3">
    <w:p w14:paraId="73E60F2B" w14:textId="63875888" w:rsidR="00CD37DF" w:rsidRPr="00590285" w:rsidRDefault="00CD37DF">
      <w:pPr>
        <w:pStyle w:val="FootnoteText"/>
      </w:pPr>
      <w:r w:rsidRPr="002D2AA4">
        <w:rPr>
          <w:rStyle w:val="FootnoteReference"/>
        </w:rPr>
        <w:footnoteRef/>
      </w:r>
      <w:r w:rsidRPr="002D2AA4">
        <w:t xml:space="preserve"> </w:t>
      </w:r>
      <w:r w:rsidR="00AF0B19" w:rsidRPr="002D2AA4">
        <w:t>ISIN codes of the share</w:t>
      </w:r>
      <w:r w:rsidR="002D2AA4" w:rsidRPr="002D2AA4">
        <w:t xml:space="preserve"> </w:t>
      </w:r>
      <w:r w:rsidR="00AF0B19" w:rsidRPr="002D2AA4">
        <w:t>classes: ISIN IE00018U4PN8 (max TER: 0.34%), ISIN IE00066L6LB9 (max TER: 0.34%). Investment will be reduced by the costs mentioned.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7F86" w14:textId="3DBC0531" w:rsidR="0064613F" w:rsidRPr="00104EF3" w:rsidRDefault="0064613F" w:rsidP="00987ECB">
    <w:pPr>
      <w:pStyle w:val="Identifier"/>
    </w:pPr>
    <w:r>
      <w:rPr>
        <w:noProof/>
        <w:lang w:eastAsia="zh-TW"/>
      </w:rPr>
      <w:drawing>
        <wp:anchor distT="0" distB="0" distL="114300" distR="114300" simplePos="0" relativeHeight="251644416" behindDoc="1" locked="0" layoutInCell="1" allowOverlap="1" wp14:anchorId="1082472C" wp14:editId="282F7A77">
          <wp:simplePos x="0" y="0"/>
          <wp:positionH relativeFrom="column">
            <wp:posOffset>-8889</wp:posOffset>
          </wp:positionH>
          <wp:positionV relativeFrom="paragraph">
            <wp:posOffset>-6984</wp:posOffset>
          </wp:positionV>
          <wp:extent cx="1981200" cy="562186"/>
          <wp:effectExtent l="0" t="0" r="0" b="9525"/>
          <wp:wrapNone/>
          <wp:docPr id="14" name="Picture 6" descr="invest_managers_open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_managers_open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463" cy="574179"/>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6E6414E3" w14:textId="6255F139" w:rsidR="0064613F" w:rsidRPr="00652D93" w:rsidRDefault="0064613F" w:rsidP="003D76E6">
    <w:pPr>
      <w:pStyle w:val="Identifier"/>
      <w:rPr>
        <w:b/>
        <w:lang w:val="en-US"/>
      </w:rPr>
    </w:pPr>
    <w:r>
      <w:rPr>
        <w:b/>
        <w:color w:val="FF0000"/>
        <w:lang w:val="en-US"/>
      </w:rPr>
      <w:tab/>
    </w:r>
    <w:r w:rsidR="00B30D03">
      <w:rPr>
        <w:rFonts w:ascii="Calibri" w:hAnsi="Calibri"/>
        <w:b/>
        <w:color w:val="027180" w:themeColor="accent1"/>
        <w:lang w:val="en-US"/>
      </w:rPr>
      <w:t>Press release</w:t>
    </w:r>
  </w:p>
  <w:p w14:paraId="027FEAAD" w14:textId="77777777" w:rsidR="0064613F" w:rsidRPr="00652D93" w:rsidRDefault="0064613F" w:rsidP="004A6D52">
    <w:pPr>
      <w:pStyle w:val="Identifier"/>
      <w:jc w:val="center"/>
      <w:rPr>
        <w:lang w:val="en-US"/>
      </w:rPr>
    </w:pPr>
  </w:p>
  <w:p w14:paraId="005AB3A3" w14:textId="77777777" w:rsidR="0064613F" w:rsidRPr="00652D93" w:rsidRDefault="0064613F" w:rsidP="00104EF3">
    <w:pPr>
      <w:pStyle w:val="Identifi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9659" w14:textId="130E3A9B" w:rsidR="0064613F" w:rsidRDefault="0064613F" w:rsidP="003A6D41">
    <w:pPr>
      <w:pStyle w:val="Identifier"/>
      <w:rPr>
        <w:lang w:val="en-US"/>
      </w:rPr>
    </w:pPr>
    <w:r>
      <w:rPr>
        <w:noProof/>
        <w:lang w:eastAsia="zh-TW"/>
      </w:rPr>
      <w:drawing>
        <wp:anchor distT="0" distB="0" distL="114300" distR="114300" simplePos="0" relativeHeight="251705856" behindDoc="1" locked="0" layoutInCell="1" allowOverlap="1" wp14:anchorId="4A3ABBD2" wp14:editId="3C0CF9DD">
          <wp:simplePos x="0" y="0"/>
          <wp:positionH relativeFrom="column">
            <wp:posOffset>-8889</wp:posOffset>
          </wp:positionH>
          <wp:positionV relativeFrom="paragraph">
            <wp:posOffset>-6984</wp:posOffset>
          </wp:positionV>
          <wp:extent cx="1981200" cy="562186"/>
          <wp:effectExtent l="0" t="0" r="0" b="9525"/>
          <wp:wrapNone/>
          <wp:docPr id="15" name="Picture 4" descr="invest_managers_open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_managers_open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463" cy="574179"/>
                  </a:xfrm>
                  <a:prstGeom prst="rect">
                    <a:avLst/>
                  </a:prstGeom>
                  <a:noFill/>
                </pic:spPr>
              </pic:pic>
            </a:graphicData>
          </a:graphic>
          <wp14:sizeRelH relativeFrom="page">
            <wp14:pctWidth>0</wp14:pctWidth>
          </wp14:sizeRelH>
          <wp14:sizeRelV relativeFrom="page">
            <wp14:pctHeight>0</wp14:pctHeight>
          </wp14:sizeRelV>
        </wp:anchor>
      </w:drawing>
    </w:r>
    <w:r w:rsidRPr="00652D93">
      <w:rPr>
        <w:lang w:val="en-US"/>
      </w:rPr>
      <w:tab/>
    </w:r>
    <w:r w:rsidR="00B50235">
      <w:rPr>
        <w:lang w:val="en-US"/>
      </w:rPr>
      <w:t>26 September</w:t>
    </w:r>
    <w:r w:rsidR="00A765E6">
      <w:rPr>
        <w:lang w:val="en-US"/>
      </w:rPr>
      <w:t xml:space="preserve"> 202</w:t>
    </w:r>
    <w:r w:rsidR="0066587E">
      <w:rPr>
        <w:lang w:val="en-US"/>
      </w:rPr>
      <w:t>4</w:t>
    </w:r>
  </w:p>
  <w:p w14:paraId="1B9854B3" w14:textId="3DF61E82" w:rsidR="00F82AD1" w:rsidRDefault="00F82AD1" w:rsidP="003A6D41">
    <w:pPr>
      <w:pStyle w:val="Identifier"/>
      <w:rPr>
        <w:lang w:val="en-US"/>
      </w:rPr>
    </w:pPr>
  </w:p>
  <w:p w14:paraId="25FD4602" w14:textId="007379F8" w:rsidR="00F82AD1" w:rsidRDefault="00F82AD1" w:rsidP="003A6D41">
    <w:pPr>
      <w:pStyle w:val="Identifier"/>
      <w:rPr>
        <w:lang w:val="en-US"/>
      </w:rPr>
    </w:pPr>
  </w:p>
  <w:p w14:paraId="39D5C0A2" w14:textId="77777777" w:rsidR="00B50235" w:rsidRDefault="00B50235" w:rsidP="00B50235">
    <w:pPr>
      <w:pStyle w:val="Identifier"/>
      <w:rPr>
        <w:lang w:val="en-US"/>
      </w:rPr>
    </w:pPr>
    <w:r>
      <w:rPr>
        <w:lang w:val="en-US"/>
      </w:rPr>
      <w:t>Professional audience only</w:t>
    </w:r>
  </w:p>
  <w:p w14:paraId="51303DEA" w14:textId="42C4144C" w:rsidR="00F82AD1" w:rsidRDefault="00F82AD1" w:rsidP="003A6D41">
    <w:pPr>
      <w:pStyle w:val="Identifier"/>
      <w:rPr>
        <w:lang w:val="en-US"/>
      </w:rPr>
    </w:pPr>
  </w:p>
  <w:p w14:paraId="4C3321AB" w14:textId="77777777" w:rsidR="00B30D03" w:rsidRPr="00555935" w:rsidRDefault="008F35C1" w:rsidP="00B30D03">
    <w:pPr>
      <w:pStyle w:val="NormalWeb"/>
      <w:spacing w:line="600" w:lineRule="atLeast"/>
      <w:rPr>
        <w:rFonts w:ascii="Georgia" w:hAnsi="Georgia" w:cs="Arial"/>
        <w:b/>
        <w:bCs/>
        <w:color w:val="00008F"/>
        <w:sz w:val="72"/>
        <w:szCs w:val="72"/>
        <w:lang w:val="en-US" w:eastAsia="en-US"/>
      </w:rPr>
    </w:pPr>
    <w:r>
      <w:rPr>
        <w:rFonts w:ascii="Georgia" w:hAnsi="Georgia"/>
        <w:b/>
        <w:sz w:val="72"/>
        <w:szCs w:val="72"/>
        <w:lang w:val="en-US"/>
      </w:rPr>
      <w:br/>
    </w:r>
    <w:r w:rsidR="00B30D03" w:rsidRPr="00555935">
      <w:rPr>
        <w:rStyle w:val="Strong"/>
        <w:rFonts w:ascii="Georgia" w:hAnsi="Georgia" w:cs="Arial"/>
        <w:color w:val="027180"/>
        <w:sz w:val="72"/>
        <w:szCs w:val="72"/>
        <w:lang w:val="en-US" w:eastAsia="en-US"/>
      </w:rPr>
      <w:t>Press</w:t>
    </w:r>
    <w:r w:rsidR="00B30D03" w:rsidRPr="00555935">
      <w:rPr>
        <w:rFonts w:ascii="Georgia" w:hAnsi="Georgia" w:cs="Arial"/>
        <w:b/>
        <w:bCs/>
        <w:color w:val="00008F"/>
        <w:sz w:val="72"/>
        <w:szCs w:val="72"/>
        <w:lang w:val="en-US" w:eastAsia="en-US"/>
      </w:rPr>
      <w:br/>
    </w:r>
    <w:r w:rsidR="00B30D03" w:rsidRPr="00555935">
      <w:rPr>
        <w:rStyle w:val="Strong"/>
        <w:rFonts w:ascii="Georgia" w:hAnsi="Georgia" w:cs="Arial"/>
        <w:color w:val="00008F"/>
        <w:sz w:val="72"/>
        <w:szCs w:val="72"/>
        <w:lang w:val="en-US" w:eastAsia="en-US"/>
      </w:rPr>
      <w:t>Release</w:t>
    </w:r>
  </w:p>
  <w:p w14:paraId="29345DC5" w14:textId="2C5ECEE0" w:rsidR="00F82AD1" w:rsidRPr="008F35C1" w:rsidRDefault="00F82AD1" w:rsidP="008F35C1">
    <w:pPr>
      <w:pStyle w:val="Identifier"/>
      <w:spacing w:line="720" w:lineRule="exact"/>
      <w:ind w:left="0"/>
      <w:jc w:val="left"/>
      <w:rPr>
        <w:rFonts w:ascii="Georgia" w:hAnsi="Georgia"/>
        <w:b/>
        <w:sz w:val="72"/>
        <w:szCs w:val="7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2098"/>
    <w:multiLevelType w:val="multilevel"/>
    <w:tmpl w:val="3F96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D1EC5"/>
    <w:multiLevelType w:val="hybridMultilevel"/>
    <w:tmpl w:val="4AD08D98"/>
    <w:lvl w:ilvl="0" w:tplc="96C6C138">
      <w:start w:val="1"/>
      <w:numFmt w:val="bullet"/>
      <w:lvlText w:val="-"/>
      <w:lvlJc w:val="left"/>
      <w:pPr>
        <w:ind w:left="352" w:hanging="360"/>
      </w:pPr>
      <w:rPr>
        <w:rFonts w:ascii="Arial" w:eastAsia="Times New Roman" w:hAnsi="Arial" w:cs="Arial" w:hint="default"/>
        <w:b w:val="0"/>
        <w:i w:val="0"/>
      </w:rPr>
    </w:lvl>
    <w:lvl w:ilvl="1" w:tplc="040C0019" w:tentative="1">
      <w:start w:val="1"/>
      <w:numFmt w:val="lowerLetter"/>
      <w:lvlText w:val="%2."/>
      <w:lvlJc w:val="left"/>
      <w:pPr>
        <w:ind w:left="1072" w:hanging="360"/>
      </w:pPr>
    </w:lvl>
    <w:lvl w:ilvl="2" w:tplc="040C001B" w:tentative="1">
      <w:start w:val="1"/>
      <w:numFmt w:val="lowerRoman"/>
      <w:lvlText w:val="%3."/>
      <w:lvlJc w:val="right"/>
      <w:pPr>
        <w:ind w:left="1792" w:hanging="180"/>
      </w:pPr>
    </w:lvl>
    <w:lvl w:ilvl="3" w:tplc="040C000F" w:tentative="1">
      <w:start w:val="1"/>
      <w:numFmt w:val="decimal"/>
      <w:lvlText w:val="%4."/>
      <w:lvlJc w:val="left"/>
      <w:pPr>
        <w:ind w:left="2512" w:hanging="360"/>
      </w:pPr>
    </w:lvl>
    <w:lvl w:ilvl="4" w:tplc="040C0019" w:tentative="1">
      <w:start w:val="1"/>
      <w:numFmt w:val="lowerLetter"/>
      <w:lvlText w:val="%5."/>
      <w:lvlJc w:val="left"/>
      <w:pPr>
        <w:ind w:left="3232" w:hanging="360"/>
      </w:pPr>
    </w:lvl>
    <w:lvl w:ilvl="5" w:tplc="040C001B" w:tentative="1">
      <w:start w:val="1"/>
      <w:numFmt w:val="lowerRoman"/>
      <w:lvlText w:val="%6."/>
      <w:lvlJc w:val="right"/>
      <w:pPr>
        <w:ind w:left="3952" w:hanging="180"/>
      </w:pPr>
    </w:lvl>
    <w:lvl w:ilvl="6" w:tplc="040C000F" w:tentative="1">
      <w:start w:val="1"/>
      <w:numFmt w:val="decimal"/>
      <w:lvlText w:val="%7."/>
      <w:lvlJc w:val="left"/>
      <w:pPr>
        <w:ind w:left="4672" w:hanging="360"/>
      </w:pPr>
    </w:lvl>
    <w:lvl w:ilvl="7" w:tplc="040C0019" w:tentative="1">
      <w:start w:val="1"/>
      <w:numFmt w:val="lowerLetter"/>
      <w:lvlText w:val="%8."/>
      <w:lvlJc w:val="left"/>
      <w:pPr>
        <w:ind w:left="5392" w:hanging="360"/>
      </w:pPr>
    </w:lvl>
    <w:lvl w:ilvl="8" w:tplc="040C001B" w:tentative="1">
      <w:start w:val="1"/>
      <w:numFmt w:val="lowerRoman"/>
      <w:lvlText w:val="%9."/>
      <w:lvlJc w:val="right"/>
      <w:pPr>
        <w:ind w:left="6112" w:hanging="180"/>
      </w:pPr>
    </w:lvl>
  </w:abstractNum>
  <w:abstractNum w:abstractNumId="2" w15:restartNumberingAfterBreak="0">
    <w:nsid w:val="1A487566"/>
    <w:multiLevelType w:val="hybridMultilevel"/>
    <w:tmpl w:val="2B8C0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8242DF"/>
    <w:multiLevelType w:val="hybridMultilevel"/>
    <w:tmpl w:val="62B89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DB3531"/>
    <w:multiLevelType w:val="hybridMultilevel"/>
    <w:tmpl w:val="C2223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F62719"/>
    <w:multiLevelType w:val="hybridMultilevel"/>
    <w:tmpl w:val="BD0C199E"/>
    <w:lvl w:ilvl="0" w:tplc="272419FA">
      <w:start w:val="1"/>
      <w:numFmt w:val="decimal"/>
      <w:lvlText w:val="%1."/>
      <w:lvlJc w:val="left"/>
      <w:pPr>
        <w:ind w:left="644" w:hanging="360"/>
      </w:pPr>
      <w:rPr>
        <w:rFonts w:ascii="Calibri" w:eastAsia="Calibri" w:hAnsi="Calibri" w:cs="Arial"/>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B1D5B01"/>
    <w:multiLevelType w:val="hybridMultilevel"/>
    <w:tmpl w:val="F08A66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F63429"/>
    <w:multiLevelType w:val="hybridMultilevel"/>
    <w:tmpl w:val="819A7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96F1A"/>
    <w:multiLevelType w:val="hybridMultilevel"/>
    <w:tmpl w:val="D69EE946"/>
    <w:lvl w:ilvl="0" w:tplc="B28EA3E2">
      <w:start w:val="1"/>
      <w:numFmt w:val="bullet"/>
      <w:pStyle w:val="ListParagraph"/>
      <w:lvlText w:val=""/>
      <w:lvlJc w:val="left"/>
      <w:pPr>
        <w:ind w:left="720" w:hanging="360"/>
      </w:pPr>
      <w:rPr>
        <w:rFonts w:ascii="Symbol" w:hAnsi="Symbol" w:hint="default"/>
        <w:color w:val="00008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636C0"/>
    <w:multiLevelType w:val="hybridMultilevel"/>
    <w:tmpl w:val="5DB09B70"/>
    <w:lvl w:ilvl="0" w:tplc="B6542B2A">
      <w:start w:val="1"/>
      <w:numFmt w:val="bullet"/>
      <w:lvlText w:val="•"/>
      <w:lvlJc w:val="left"/>
      <w:pPr>
        <w:tabs>
          <w:tab w:val="num" w:pos="720"/>
        </w:tabs>
        <w:ind w:left="720" w:hanging="360"/>
      </w:pPr>
      <w:rPr>
        <w:rFonts w:ascii="Arial" w:hAnsi="Arial" w:hint="default"/>
      </w:rPr>
    </w:lvl>
    <w:lvl w:ilvl="1" w:tplc="4624366A" w:tentative="1">
      <w:start w:val="1"/>
      <w:numFmt w:val="bullet"/>
      <w:lvlText w:val="•"/>
      <w:lvlJc w:val="left"/>
      <w:pPr>
        <w:tabs>
          <w:tab w:val="num" w:pos="1440"/>
        </w:tabs>
        <w:ind w:left="1440" w:hanging="360"/>
      </w:pPr>
      <w:rPr>
        <w:rFonts w:ascii="Arial" w:hAnsi="Arial" w:hint="default"/>
      </w:rPr>
    </w:lvl>
    <w:lvl w:ilvl="2" w:tplc="CE262334" w:tentative="1">
      <w:start w:val="1"/>
      <w:numFmt w:val="bullet"/>
      <w:lvlText w:val="•"/>
      <w:lvlJc w:val="left"/>
      <w:pPr>
        <w:tabs>
          <w:tab w:val="num" w:pos="2160"/>
        </w:tabs>
        <w:ind w:left="2160" w:hanging="360"/>
      </w:pPr>
      <w:rPr>
        <w:rFonts w:ascii="Arial" w:hAnsi="Arial" w:hint="default"/>
      </w:rPr>
    </w:lvl>
    <w:lvl w:ilvl="3" w:tplc="CDDE5C80" w:tentative="1">
      <w:start w:val="1"/>
      <w:numFmt w:val="bullet"/>
      <w:lvlText w:val="•"/>
      <w:lvlJc w:val="left"/>
      <w:pPr>
        <w:tabs>
          <w:tab w:val="num" w:pos="2880"/>
        </w:tabs>
        <w:ind w:left="2880" w:hanging="360"/>
      </w:pPr>
      <w:rPr>
        <w:rFonts w:ascii="Arial" w:hAnsi="Arial" w:hint="default"/>
      </w:rPr>
    </w:lvl>
    <w:lvl w:ilvl="4" w:tplc="FE34C8C6" w:tentative="1">
      <w:start w:val="1"/>
      <w:numFmt w:val="bullet"/>
      <w:lvlText w:val="•"/>
      <w:lvlJc w:val="left"/>
      <w:pPr>
        <w:tabs>
          <w:tab w:val="num" w:pos="3600"/>
        </w:tabs>
        <w:ind w:left="3600" w:hanging="360"/>
      </w:pPr>
      <w:rPr>
        <w:rFonts w:ascii="Arial" w:hAnsi="Arial" w:hint="default"/>
      </w:rPr>
    </w:lvl>
    <w:lvl w:ilvl="5" w:tplc="D1A68B06" w:tentative="1">
      <w:start w:val="1"/>
      <w:numFmt w:val="bullet"/>
      <w:lvlText w:val="•"/>
      <w:lvlJc w:val="left"/>
      <w:pPr>
        <w:tabs>
          <w:tab w:val="num" w:pos="4320"/>
        </w:tabs>
        <w:ind w:left="4320" w:hanging="360"/>
      </w:pPr>
      <w:rPr>
        <w:rFonts w:ascii="Arial" w:hAnsi="Arial" w:hint="default"/>
      </w:rPr>
    </w:lvl>
    <w:lvl w:ilvl="6" w:tplc="DD7A4988" w:tentative="1">
      <w:start w:val="1"/>
      <w:numFmt w:val="bullet"/>
      <w:lvlText w:val="•"/>
      <w:lvlJc w:val="left"/>
      <w:pPr>
        <w:tabs>
          <w:tab w:val="num" w:pos="5040"/>
        </w:tabs>
        <w:ind w:left="5040" w:hanging="360"/>
      </w:pPr>
      <w:rPr>
        <w:rFonts w:ascii="Arial" w:hAnsi="Arial" w:hint="default"/>
      </w:rPr>
    </w:lvl>
    <w:lvl w:ilvl="7" w:tplc="48D21114" w:tentative="1">
      <w:start w:val="1"/>
      <w:numFmt w:val="bullet"/>
      <w:lvlText w:val="•"/>
      <w:lvlJc w:val="left"/>
      <w:pPr>
        <w:tabs>
          <w:tab w:val="num" w:pos="5760"/>
        </w:tabs>
        <w:ind w:left="5760" w:hanging="360"/>
      </w:pPr>
      <w:rPr>
        <w:rFonts w:ascii="Arial" w:hAnsi="Arial" w:hint="default"/>
      </w:rPr>
    </w:lvl>
    <w:lvl w:ilvl="8" w:tplc="84AC2D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790DEA"/>
    <w:multiLevelType w:val="hybridMultilevel"/>
    <w:tmpl w:val="02C0BD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A78023D"/>
    <w:multiLevelType w:val="hybridMultilevel"/>
    <w:tmpl w:val="44E09A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2F2FED"/>
    <w:multiLevelType w:val="hybridMultilevel"/>
    <w:tmpl w:val="AD620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77AF2"/>
    <w:multiLevelType w:val="hybridMultilevel"/>
    <w:tmpl w:val="DD78EEC0"/>
    <w:lvl w:ilvl="0" w:tplc="4D46F1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8F7E3D"/>
    <w:multiLevelType w:val="hybridMultilevel"/>
    <w:tmpl w:val="3870A008"/>
    <w:lvl w:ilvl="0" w:tplc="C352AED0">
      <w:start w:val="1"/>
      <w:numFmt w:val="bullet"/>
      <w:lvlText w:val="-"/>
      <w:lvlJc w:val="left"/>
      <w:pPr>
        <w:tabs>
          <w:tab w:val="num" w:pos="420"/>
        </w:tabs>
        <w:ind w:left="420" w:hanging="358"/>
      </w:pPr>
      <w:rPr>
        <w:rFonts w:ascii="Arial" w:eastAsia="Times New Roman" w:hAnsi="Arial" w:cs="Arial" w:hint="default"/>
        <w:color w:val="auto"/>
      </w:rPr>
    </w:lvl>
    <w:lvl w:ilvl="1" w:tplc="040C0003">
      <w:start w:val="1"/>
      <w:numFmt w:val="bullet"/>
      <w:lvlText w:val="o"/>
      <w:lvlJc w:val="left"/>
      <w:pPr>
        <w:tabs>
          <w:tab w:val="num" w:pos="502"/>
        </w:tabs>
        <w:ind w:left="502" w:hanging="360"/>
      </w:pPr>
      <w:rPr>
        <w:rFonts w:ascii="Courier New" w:hAnsi="Courier New" w:cs="Courier New" w:hint="default"/>
      </w:rPr>
    </w:lvl>
    <w:lvl w:ilvl="2" w:tplc="040C0005">
      <w:start w:val="1"/>
      <w:numFmt w:val="bullet"/>
      <w:lvlText w:val=""/>
      <w:lvlJc w:val="left"/>
      <w:pPr>
        <w:tabs>
          <w:tab w:val="num" w:pos="786"/>
        </w:tabs>
        <w:ind w:left="786" w:hanging="360"/>
      </w:pPr>
      <w:rPr>
        <w:rFonts w:ascii="Wingdings" w:hAnsi="Wingdings" w:hint="default"/>
      </w:rPr>
    </w:lvl>
    <w:lvl w:ilvl="3" w:tplc="040C0001">
      <w:start w:val="1"/>
      <w:numFmt w:val="bullet"/>
      <w:lvlText w:val=""/>
      <w:lvlJc w:val="left"/>
      <w:pPr>
        <w:tabs>
          <w:tab w:val="num" w:pos="1070"/>
        </w:tabs>
        <w:ind w:left="1070" w:hanging="360"/>
      </w:pPr>
      <w:rPr>
        <w:rFonts w:ascii="Symbol" w:hAnsi="Symbol" w:hint="default"/>
      </w:rPr>
    </w:lvl>
    <w:lvl w:ilvl="4" w:tplc="96C6C138">
      <w:start w:val="1"/>
      <w:numFmt w:val="bullet"/>
      <w:lvlText w:val="-"/>
      <w:lvlJc w:val="left"/>
      <w:pPr>
        <w:tabs>
          <w:tab w:val="num" w:pos="1495"/>
        </w:tabs>
        <w:ind w:left="1495" w:hanging="360"/>
      </w:pPr>
      <w:rPr>
        <w:rFonts w:ascii="Arial" w:eastAsia="Times New Roman" w:hAnsi="Arial"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2061C0"/>
    <w:multiLevelType w:val="hybridMultilevel"/>
    <w:tmpl w:val="3398A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069A4"/>
    <w:multiLevelType w:val="multilevel"/>
    <w:tmpl w:val="F46EC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548D6"/>
    <w:multiLevelType w:val="hybridMultilevel"/>
    <w:tmpl w:val="F6FA6BF2"/>
    <w:lvl w:ilvl="0" w:tplc="25209120">
      <w:start w:val="3"/>
      <w:numFmt w:val="bullet"/>
      <w:lvlText w:val="-"/>
      <w:lvlJc w:val="left"/>
      <w:pPr>
        <w:ind w:left="720" w:hanging="360"/>
      </w:pPr>
      <w:rPr>
        <w:rFonts w:ascii="Calibri" w:eastAsia="SimSu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BA00C2B"/>
    <w:multiLevelType w:val="hybridMultilevel"/>
    <w:tmpl w:val="19F8B92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9608948">
    <w:abstractNumId w:val="8"/>
  </w:num>
  <w:num w:numId="2" w16cid:durableId="2009357539">
    <w:abstractNumId w:val="3"/>
  </w:num>
  <w:num w:numId="3" w16cid:durableId="1004742795">
    <w:abstractNumId w:val="18"/>
  </w:num>
  <w:num w:numId="4" w16cid:durableId="1575167715">
    <w:abstractNumId w:val="12"/>
  </w:num>
  <w:num w:numId="5" w16cid:durableId="545410119">
    <w:abstractNumId w:val="10"/>
  </w:num>
  <w:num w:numId="6" w16cid:durableId="408885032">
    <w:abstractNumId w:val="1"/>
  </w:num>
  <w:num w:numId="7" w16cid:durableId="731316764">
    <w:abstractNumId w:val="4"/>
  </w:num>
  <w:num w:numId="8" w16cid:durableId="1377117636">
    <w:abstractNumId w:val="13"/>
  </w:num>
  <w:num w:numId="9" w16cid:durableId="1195386848">
    <w:abstractNumId w:val="11"/>
  </w:num>
  <w:num w:numId="10" w16cid:durableId="2002848017">
    <w:abstractNumId w:val="2"/>
  </w:num>
  <w:num w:numId="11" w16cid:durableId="856775922">
    <w:abstractNumId w:val="17"/>
  </w:num>
  <w:num w:numId="12" w16cid:durableId="980571382">
    <w:abstractNumId w:val="5"/>
  </w:num>
  <w:num w:numId="13" w16cid:durableId="629559171">
    <w:abstractNumId w:val="16"/>
  </w:num>
  <w:num w:numId="14" w16cid:durableId="2114203612">
    <w:abstractNumId w:val="9"/>
  </w:num>
  <w:num w:numId="15" w16cid:durableId="135490050">
    <w:abstractNumId w:val="14"/>
  </w:num>
  <w:num w:numId="16" w16cid:durableId="1922442711">
    <w:abstractNumId w:val="15"/>
  </w:num>
  <w:num w:numId="17" w16cid:durableId="754937499">
    <w:abstractNumId w:val="6"/>
  </w:num>
  <w:num w:numId="18" w16cid:durableId="1549872272">
    <w:abstractNumId w:val="0"/>
  </w:num>
  <w:num w:numId="19" w16cid:durableId="1898277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B0"/>
    <w:rsid w:val="00000F92"/>
    <w:rsid w:val="00001BFC"/>
    <w:rsid w:val="00004FC8"/>
    <w:rsid w:val="000055B4"/>
    <w:rsid w:val="00005C1F"/>
    <w:rsid w:val="00010A15"/>
    <w:rsid w:val="000111AA"/>
    <w:rsid w:val="00013BBD"/>
    <w:rsid w:val="000165BD"/>
    <w:rsid w:val="00021478"/>
    <w:rsid w:val="00021A86"/>
    <w:rsid w:val="0002267F"/>
    <w:rsid w:val="0002302D"/>
    <w:rsid w:val="000308B9"/>
    <w:rsid w:val="0003327E"/>
    <w:rsid w:val="00042258"/>
    <w:rsid w:val="000424F3"/>
    <w:rsid w:val="00052445"/>
    <w:rsid w:val="00053A95"/>
    <w:rsid w:val="00056F66"/>
    <w:rsid w:val="00057E32"/>
    <w:rsid w:val="000623FB"/>
    <w:rsid w:val="000624A9"/>
    <w:rsid w:val="000627AE"/>
    <w:rsid w:val="00063ECC"/>
    <w:rsid w:val="00071ADD"/>
    <w:rsid w:val="00075799"/>
    <w:rsid w:val="00075C20"/>
    <w:rsid w:val="00080B3F"/>
    <w:rsid w:val="00081EE4"/>
    <w:rsid w:val="00084D54"/>
    <w:rsid w:val="00087F48"/>
    <w:rsid w:val="00090F31"/>
    <w:rsid w:val="000B1709"/>
    <w:rsid w:val="000B19AC"/>
    <w:rsid w:val="000B631B"/>
    <w:rsid w:val="000B65CD"/>
    <w:rsid w:val="000C19B8"/>
    <w:rsid w:val="000C555C"/>
    <w:rsid w:val="000C5AF3"/>
    <w:rsid w:val="000C5B47"/>
    <w:rsid w:val="000C64D8"/>
    <w:rsid w:val="000D2813"/>
    <w:rsid w:val="000D5FE7"/>
    <w:rsid w:val="000D644F"/>
    <w:rsid w:val="000E0831"/>
    <w:rsid w:val="000E3B5A"/>
    <w:rsid w:val="000E6909"/>
    <w:rsid w:val="000E7B74"/>
    <w:rsid w:val="000F004C"/>
    <w:rsid w:val="000F15AB"/>
    <w:rsid w:val="000F388B"/>
    <w:rsid w:val="000F532B"/>
    <w:rsid w:val="000F6405"/>
    <w:rsid w:val="00104EF3"/>
    <w:rsid w:val="001071CC"/>
    <w:rsid w:val="0011327B"/>
    <w:rsid w:val="00113585"/>
    <w:rsid w:val="001169F4"/>
    <w:rsid w:val="00121ED7"/>
    <w:rsid w:val="00123D1D"/>
    <w:rsid w:val="00124CEA"/>
    <w:rsid w:val="001259BE"/>
    <w:rsid w:val="00130190"/>
    <w:rsid w:val="00130830"/>
    <w:rsid w:val="00134FFB"/>
    <w:rsid w:val="00141E86"/>
    <w:rsid w:val="001463F1"/>
    <w:rsid w:val="00152794"/>
    <w:rsid w:val="00153271"/>
    <w:rsid w:val="001548FD"/>
    <w:rsid w:val="00160584"/>
    <w:rsid w:val="00167BD5"/>
    <w:rsid w:val="00171DBB"/>
    <w:rsid w:val="001744A6"/>
    <w:rsid w:val="00185E01"/>
    <w:rsid w:val="001B0EB7"/>
    <w:rsid w:val="001B14E2"/>
    <w:rsid w:val="001B1584"/>
    <w:rsid w:val="001B16AB"/>
    <w:rsid w:val="001B5E58"/>
    <w:rsid w:val="001C0B74"/>
    <w:rsid w:val="001D2BDF"/>
    <w:rsid w:val="001D51C2"/>
    <w:rsid w:val="001E0523"/>
    <w:rsid w:val="001E5D4F"/>
    <w:rsid w:val="001E7619"/>
    <w:rsid w:val="001F1B1B"/>
    <w:rsid w:val="001F77CF"/>
    <w:rsid w:val="00200FE5"/>
    <w:rsid w:val="00206DAD"/>
    <w:rsid w:val="00210457"/>
    <w:rsid w:val="00210A6B"/>
    <w:rsid w:val="002160BC"/>
    <w:rsid w:val="0022063D"/>
    <w:rsid w:val="00230418"/>
    <w:rsid w:val="0023257F"/>
    <w:rsid w:val="002353A9"/>
    <w:rsid w:val="00242EC8"/>
    <w:rsid w:val="00244BF4"/>
    <w:rsid w:val="00246B55"/>
    <w:rsid w:val="002510E7"/>
    <w:rsid w:val="00251BAE"/>
    <w:rsid w:val="00254020"/>
    <w:rsid w:val="00261BAC"/>
    <w:rsid w:val="00261C29"/>
    <w:rsid w:val="00262722"/>
    <w:rsid w:val="00263258"/>
    <w:rsid w:val="00265612"/>
    <w:rsid w:val="00265CD4"/>
    <w:rsid w:val="00266340"/>
    <w:rsid w:val="0026639F"/>
    <w:rsid w:val="00271720"/>
    <w:rsid w:val="00273C40"/>
    <w:rsid w:val="0027438D"/>
    <w:rsid w:val="00287609"/>
    <w:rsid w:val="0029190B"/>
    <w:rsid w:val="002B04DB"/>
    <w:rsid w:val="002B65B6"/>
    <w:rsid w:val="002B7B7C"/>
    <w:rsid w:val="002C0CC0"/>
    <w:rsid w:val="002C0D70"/>
    <w:rsid w:val="002C275F"/>
    <w:rsid w:val="002C5B91"/>
    <w:rsid w:val="002D05BB"/>
    <w:rsid w:val="002D1918"/>
    <w:rsid w:val="002D2AA4"/>
    <w:rsid w:val="002D3294"/>
    <w:rsid w:val="002D3F0B"/>
    <w:rsid w:val="002D666A"/>
    <w:rsid w:val="002D7275"/>
    <w:rsid w:val="002D7B55"/>
    <w:rsid w:val="002E532C"/>
    <w:rsid w:val="002E5D1E"/>
    <w:rsid w:val="002E6BDA"/>
    <w:rsid w:val="002E7C3D"/>
    <w:rsid w:val="002F00B0"/>
    <w:rsid w:val="002F0FD4"/>
    <w:rsid w:val="002F5D67"/>
    <w:rsid w:val="002F7223"/>
    <w:rsid w:val="002F7569"/>
    <w:rsid w:val="002F7F11"/>
    <w:rsid w:val="0030067A"/>
    <w:rsid w:val="003016E3"/>
    <w:rsid w:val="003065EF"/>
    <w:rsid w:val="00307ED6"/>
    <w:rsid w:val="003132DF"/>
    <w:rsid w:val="00321E72"/>
    <w:rsid w:val="00327653"/>
    <w:rsid w:val="00330F4F"/>
    <w:rsid w:val="00331B0B"/>
    <w:rsid w:val="00334D5D"/>
    <w:rsid w:val="003375F8"/>
    <w:rsid w:val="00343720"/>
    <w:rsid w:val="00354AA3"/>
    <w:rsid w:val="00354D88"/>
    <w:rsid w:val="00364191"/>
    <w:rsid w:val="00366D30"/>
    <w:rsid w:val="00372ED5"/>
    <w:rsid w:val="0037628C"/>
    <w:rsid w:val="00381733"/>
    <w:rsid w:val="003832CF"/>
    <w:rsid w:val="003917FB"/>
    <w:rsid w:val="003970FC"/>
    <w:rsid w:val="00397233"/>
    <w:rsid w:val="00397577"/>
    <w:rsid w:val="00397724"/>
    <w:rsid w:val="003A4A16"/>
    <w:rsid w:val="003A66E3"/>
    <w:rsid w:val="003A6D41"/>
    <w:rsid w:val="003A765E"/>
    <w:rsid w:val="003B4230"/>
    <w:rsid w:val="003B721B"/>
    <w:rsid w:val="003B7456"/>
    <w:rsid w:val="003C5CFE"/>
    <w:rsid w:val="003D1D3F"/>
    <w:rsid w:val="003D272F"/>
    <w:rsid w:val="003D36D6"/>
    <w:rsid w:val="003D6C0E"/>
    <w:rsid w:val="003D76E6"/>
    <w:rsid w:val="003E0139"/>
    <w:rsid w:val="003E09ED"/>
    <w:rsid w:val="003E106F"/>
    <w:rsid w:val="003E1074"/>
    <w:rsid w:val="003E2B21"/>
    <w:rsid w:val="003E40B9"/>
    <w:rsid w:val="003E6C0E"/>
    <w:rsid w:val="003E6C20"/>
    <w:rsid w:val="003F0886"/>
    <w:rsid w:val="003F3102"/>
    <w:rsid w:val="003F370A"/>
    <w:rsid w:val="004033CF"/>
    <w:rsid w:val="00403572"/>
    <w:rsid w:val="00403DDC"/>
    <w:rsid w:val="00405490"/>
    <w:rsid w:val="00407525"/>
    <w:rsid w:val="00414531"/>
    <w:rsid w:val="00415A98"/>
    <w:rsid w:val="004209A6"/>
    <w:rsid w:val="00421341"/>
    <w:rsid w:val="0042476A"/>
    <w:rsid w:val="00430D73"/>
    <w:rsid w:val="00441BEC"/>
    <w:rsid w:val="00444EE2"/>
    <w:rsid w:val="004453C6"/>
    <w:rsid w:val="004516CD"/>
    <w:rsid w:val="00456A4A"/>
    <w:rsid w:val="004603B1"/>
    <w:rsid w:val="004630FB"/>
    <w:rsid w:val="00467CE3"/>
    <w:rsid w:val="0047095B"/>
    <w:rsid w:val="004748B7"/>
    <w:rsid w:val="00475A32"/>
    <w:rsid w:val="00480093"/>
    <w:rsid w:val="004821FA"/>
    <w:rsid w:val="00482DDB"/>
    <w:rsid w:val="004849DA"/>
    <w:rsid w:val="00490D5E"/>
    <w:rsid w:val="00491135"/>
    <w:rsid w:val="00494E7D"/>
    <w:rsid w:val="00495F01"/>
    <w:rsid w:val="00496EB3"/>
    <w:rsid w:val="004A58F5"/>
    <w:rsid w:val="004A6D52"/>
    <w:rsid w:val="004B04B4"/>
    <w:rsid w:val="004B1BB5"/>
    <w:rsid w:val="004B35EC"/>
    <w:rsid w:val="004B4188"/>
    <w:rsid w:val="004C05D9"/>
    <w:rsid w:val="004C08CA"/>
    <w:rsid w:val="004C09D9"/>
    <w:rsid w:val="004C22C3"/>
    <w:rsid w:val="004C26DF"/>
    <w:rsid w:val="004C2A90"/>
    <w:rsid w:val="004C464F"/>
    <w:rsid w:val="004C5F2B"/>
    <w:rsid w:val="004C6A4E"/>
    <w:rsid w:val="004D022E"/>
    <w:rsid w:val="004D20D5"/>
    <w:rsid w:val="004F1133"/>
    <w:rsid w:val="00500071"/>
    <w:rsid w:val="00500EF3"/>
    <w:rsid w:val="0050163E"/>
    <w:rsid w:val="00506EB9"/>
    <w:rsid w:val="00511D5C"/>
    <w:rsid w:val="005156AB"/>
    <w:rsid w:val="005160AE"/>
    <w:rsid w:val="00522F45"/>
    <w:rsid w:val="00526D5A"/>
    <w:rsid w:val="00531017"/>
    <w:rsid w:val="00533125"/>
    <w:rsid w:val="00533C1C"/>
    <w:rsid w:val="00534F88"/>
    <w:rsid w:val="00536BC9"/>
    <w:rsid w:val="005377BA"/>
    <w:rsid w:val="00537DFB"/>
    <w:rsid w:val="005436C1"/>
    <w:rsid w:val="00547036"/>
    <w:rsid w:val="005479D8"/>
    <w:rsid w:val="00550E91"/>
    <w:rsid w:val="00555935"/>
    <w:rsid w:val="00564206"/>
    <w:rsid w:val="005663D7"/>
    <w:rsid w:val="00573B23"/>
    <w:rsid w:val="0057447B"/>
    <w:rsid w:val="00574B92"/>
    <w:rsid w:val="00576B5C"/>
    <w:rsid w:val="0057790A"/>
    <w:rsid w:val="00585FC4"/>
    <w:rsid w:val="00590285"/>
    <w:rsid w:val="00596AAD"/>
    <w:rsid w:val="005A100E"/>
    <w:rsid w:val="005A24ED"/>
    <w:rsid w:val="005A4647"/>
    <w:rsid w:val="005A6382"/>
    <w:rsid w:val="005B527B"/>
    <w:rsid w:val="005B74EB"/>
    <w:rsid w:val="005C4144"/>
    <w:rsid w:val="005C6F52"/>
    <w:rsid w:val="005D17EB"/>
    <w:rsid w:val="005D5215"/>
    <w:rsid w:val="005D7349"/>
    <w:rsid w:val="005E0E35"/>
    <w:rsid w:val="005E3BDB"/>
    <w:rsid w:val="005F62FE"/>
    <w:rsid w:val="005F6F95"/>
    <w:rsid w:val="006002CD"/>
    <w:rsid w:val="006044E7"/>
    <w:rsid w:val="00606E45"/>
    <w:rsid w:val="0061182A"/>
    <w:rsid w:val="006162EC"/>
    <w:rsid w:val="00616A94"/>
    <w:rsid w:val="00625D09"/>
    <w:rsid w:val="00631AC3"/>
    <w:rsid w:val="006340D1"/>
    <w:rsid w:val="00634D5C"/>
    <w:rsid w:val="00642716"/>
    <w:rsid w:val="00643146"/>
    <w:rsid w:val="00644C63"/>
    <w:rsid w:val="0064613F"/>
    <w:rsid w:val="006506CD"/>
    <w:rsid w:val="00650EB1"/>
    <w:rsid w:val="00651A45"/>
    <w:rsid w:val="00652D93"/>
    <w:rsid w:val="00653963"/>
    <w:rsid w:val="0065737A"/>
    <w:rsid w:val="00663B1D"/>
    <w:rsid w:val="0066587E"/>
    <w:rsid w:val="006665F8"/>
    <w:rsid w:val="0066746D"/>
    <w:rsid w:val="00675DB1"/>
    <w:rsid w:val="00676A22"/>
    <w:rsid w:val="006800D7"/>
    <w:rsid w:val="00684484"/>
    <w:rsid w:val="00685FFB"/>
    <w:rsid w:val="00686026"/>
    <w:rsid w:val="006864CD"/>
    <w:rsid w:val="00686975"/>
    <w:rsid w:val="00692302"/>
    <w:rsid w:val="00692698"/>
    <w:rsid w:val="006A215A"/>
    <w:rsid w:val="006A34ED"/>
    <w:rsid w:val="006A7629"/>
    <w:rsid w:val="006B172F"/>
    <w:rsid w:val="006B5068"/>
    <w:rsid w:val="006B73C9"/>
    <w:rsid w:val="006B75F0"/>
    <w:rsid w:val="006C4A09"/>
    <w:rsid w:val="006D0320"/>
    <w:rsid w:val="006D1CA5"/>
    <w:rsid w:val="006D3B78"/>
    <w:rsid w:val="006E0EA1"/>
    <w:rsid w:val="006E11CF"/>
    <w:rsid w:val="006E3163"/>
    <w:rsid w:val="006E3A9C"/>
    <w:rsid w:val="006E7E20"/>
    <w:rsid w:val="006F5F72"/>
    <w:rsid w:val="006F7DA9"/>
    <w:rsid w:val="00700F4B"/>
    <w:rsid w:val="00701195"/>
    <w:rsid w:val="0070316C"/>
    <w:rsid w:val="007070FA"/>
    <w:rsid w:val="007071FB"/>
    <w:rsid w:val="007107D7"/>
    <w:rsid w:val="00714285"/>
    <w:rsid w:val="007213E3"/>
    <w:rsid w:val="007231C2"/>
    <w:rsid w:val="00726E62"/>
    <w:rsid w:val="0073297A"/>
    <w:rsid w:val="00735785"/>
    <w:rsid w:val="00737462"/>
    <w:rsid w:val="00761BA9"/>
    <w:rsid w:val="0076401C"/>
    <w:rsid w:val="0077033A"/>
    <w:rsid w:val="00780700"/>
    <w:rsid w:val="007831A9"/>
    <w:rsid w:val="007859E8"/>
    <w:rsid w:val="00787D9B"/>
    <w:rsid w:val="00790658"/>
    <w:rsid w:val="00794B88"/>
    <w:rsid w:val="00795700"/>
    <w:rsid w:val="007A3FDC"/>
    <w:rsid w:val="007A4695"/>
    <w:rsid w:val="007A4CF2"/>
    <w:rsid w:val="007B3142"/>
    <w:rsid w:val="007B4391"/>
    <w:rsid w:val="007B440B"/>
    <w:rsid w:val="007B5C2F"/>
    <w:rsid w:val="007B6F41"/>
    <w:rsid w:val="007C2B7C"/>
    <w:rsid w:val="007C6711"/>
    <w:rsid w:val="007C6D9B"/>
    <w:rsid w:val="007D383A"/>
    <w:rsid w:val="007D3C8F"/>
    <w:rsid w:val="007D4357"/>
    <w:rsid w:val="007D53AE"/>
    <w:rsid w:val="007D738B"/>
    <w:rsid w:val="007E571B"/>
    <w:rsid w:val="007E6917"/>
    <w:rsid w:val="007E70E6"/>
    <w:rsid w:val="007F2758"/>
    <w:rsid w:val="007F4003"/>
    <w:rsid w:val="007F7952"/>
    <w:rsid w:val="007F7B2C"/>
    <w:rsid w:val="00802A2B"/>
    <w:rsid w:val="00804599"/>
    <w:rsid w:val="00807A25"/>
    <w:rsid w:val="008108A7"/>
    <w:rsid w:val="0081152C"/>
    <w:rsid w:val="00817367"/>
    <w:rsid w:val="008204C5"/>
    <w:rsid w:val="008221A5"/>
    <w:rsid w:val="00823719"/>
    <w:rsid w:val="00826AAD"/>
    <w:rsid w:val="0083592B"/>
    <w:rsid w:val="00836533"/>
    <w:rsid w:val="00836DFD"/>
    <w:rsid w:val="008379EB"/>
    <w:rsid w:val="008411E4"/>
    <w:rsid w:val="00841CB3"/>
    <w:rsid w:val="008431F7"/>
    <w:rsid w:val="00846DAF"/>
    <w:rsid w:val="00847146"/>
    <w:rsid w:val="00847A07"/>
    <w:rsid w:val="00853AF9"/>
    <w:rsid w:val="00873772"/>
    <w:rsid w:val="00880491"/>
    <w:rsid w:val="00880AE0"/>
    <w:rsid w:val="00886711"/>
    <w:rsid w:val="00886A2F"/>
    <w:rsid w:val="008A1112"/>
    <w:rsid w:val="008A195A"/>
    <w:rsid w:val="008A218C"/>
    <w:rsid w:val="008A3ED9"/>
    <w:rsid w:val="008A6F0E"/>
    <w:rsid w:val="008B0A48"/>
    <w:rsid w:val="008B0AAF"/>
    <w:rsid w:val="008B2DD2"/>
    <w:rsid w:val="008B4E7A"/>
    <w:rsid w:val="008B59FD"/>
    <w:rsid w:val="008B5AEA"/>
    <w:rsid w:val="008C24FD"/>
    <w:rsid w:val="008C5924"/>
    <w:rsid w:val="008C5979"/>
    <w:rsid w:val="008C672D"/>
    <w:rsid w:val="008C7C8A"/>
    <w:rsid w:val="008D18F1"/>
    <w:rsid w:val="008E21B2"/>
    <w:rsid w:val="008E7136"/>
    <w:rsid w:val="008F0B1D"/>
    <w:rsid w:val="008F1DD3"/>
    <w:rsid w:val="008F35C1"/>
    <w:rsid w:val="00900A14"/>
    <w:rsid w:val="009046B9"/>
    <w:rsid w:val="0090619B"/>
    <w:rsid w:val="00911E4B"/>
    <w:rsid w:val="00913B43"/>
    <w:rsid w:val="00914C8B"/>
    <w:rsid w:val="00921B14"/>
    <w:rsid w:val="00923C47"/>
    <w:rsid w:val="009267C2"/>
    <w:rsid w:val="00926DBA"/>
    <w:rsid w:val="0093050D"/>
    <w:rsid w:val="009320AC"/>
    <w:rsid w:val="009347AD"/>
    <w:rsid w:val="00935FC4"/>
    <w:rsid w:val="00936915"/>
    <w:rsid w:val="00941A17"/>
    <w:rsid w:val="00942F1D"/>
    <w:rsid w:val="00945B9F"/>
    <w:rsid w:val="00956CD5"/>
    <w:rsid w:val="009621DD"/>
    <w:rsid w:val="00962D1A"/>
    <w:rsid w:val="00974328"/>
    <w:rsid w:val="00983122"/>
    <w:rsid w:val="00987ECB"/>
    <w:rsid w:val="00987F45"/>
    <w:rsid w:val="009937BE"/>
    <w:rsid w:val="009978C7"/>
    <w:rsid w:val="009A340C"/>
    <w:rsid w:val="009A52C3"/>
    <w:rsid w:val="009A54EF"/>
    <w:rsid w:val="009B2986"/>
    <w:rsid w:val="009B2ABA"/>
    <w:rsid w:val="009B5E82"/>
    <w:rsid w:val="009B74C9"/>
    <w:rsid w:val="009C0706"/>
    <w:rsid w:val="009C142A"/>
    <w:rsid w:val="009C2F89"/>
    <w:rsid w:val="009C4FDD"/>
    <w:rsid w:val="009C776E"/>
    <w:rsid w:val="009D21AB"/>
    <w:rsid w:val="009D7012"/>
    <w:rsid w:val="009E422F"/>
    <w:rsid w:val="009F2CD0"/>
    <w:rsid w:val="009F2F02"/>
    <w:rsid w:val="009F3870"/>
    <w:rsid w:val="009F5A02"/>
    <w:rsid w:val="00A00325"/>
    <w:rsid w:val="00A02962"/>
    <w:rsid w:val="00A046E0"/>
    <w:rsid w:val="00A05080"/>
    <w:rsid w:val="00A07623"/>
    <w:rsid w:val="00A142A4"/>
    <w:rsid w:val="00A20578"/>
    <w:rsid w:val="00A21F3E"/>
    <w:rsid w:val="00A3230C"/>
    <w:rsid w:val="00A3509D"/>
    <w:rsid w:val="00A41EAA"/>
    <w:rsid w:val="00A431B8"/>
    <w:rsid w:val="00A55CA8"/>
    <w:rsid w:val="00A57B7A"/>
    <w:rsid w:val="00A651D8"/>
    <w:rsid w:val="00A6658B"/>
    <w:rsid w:val="00A677E4"/>
    <w:rsid w:val="00A71218"/>
    <w:rsid w:val="00A72A3F"/>
    <w:rsid w:val="00A72E61"/>
    <w:rsid w:val="00A75E54"/>
    <w:rsid w:val="00A765E6"/>
    <w:rsid w:val="00A77FFC"/>
    <w:rsid w:val="00A82ADE"/>
    <w:rsid w:val="00A84DD6"/>
    <w:rsid w:val="00A91CA8"/>
    <w:rsid w:val="00A927DC"/>
    <w:rsid w:val="00A92F26"/>
    <w:rsid w:val="00A9303D"/>
    <w:rsid w:val="00A9517B"/>
    <w:rsid w:val="00AA61EC"/>
    <w:rsid w:val="00AA67C1"/>
    <w:rsid w:val="00AB1630"/>
    <w:rsid w:val="00AB73D5"/>
    <w:rsid w:val="00AC004D"/>
    <w:rsid w:val="00AC0834"/>
    <w:rsid w:val="00AC2386"/>
    <w:rsid w:val="00AC736C"/>
    <w:rsid w:val="00AD6E7B"/>
    <w:rsid w:val="00AE410C"/>
    <w:rsid w:val="00AE6989"/>
    <w:rsid w:val="00AF0B19"/>
    <w:rsid w:val="00AF1606"/>
    <w:rsid w:val="00AF6257"/>
    <w:rsid w:val="00B00D92"/>
    <w:rsid w:val="00B02902"/>
    <w:rsid w:val="00B12B2F"/>
    <w:rsid w:val="00B16995"/>
    <w:rsid w:val="00B205F2"/>
    <w:rsid w:val="00B21718"/>
    <w:rsid w:val="00B217B7"/>
    <w:rsid w:val="00B274BB"/>
    <w:rsid w:val="00B30D03"/>
    <w:rsid w:val="00B34403"/>
    <w:rsid w:val="00B37F3A"/>
    <w:rsid w:val="00B42C19"/>
    <w:rsid w:val="00B450B8"/>
    <w:rsid w:val="00B45FD8"/>
    <w:rsid w:val="00B468DE"/>
    <w:rsid w:val="00B50235"/>
    <w:rsid w:val="00B51BB6"/>
    <w:rsid w:val="00B5352D"/>
    <w:rsid w:val="00B54EFE"/>
    <w:rsid w:val="00B55392"/>
    <w:rsid w:val="00B56303"/>
    <w:rsid w:val="00B60E69"/>
    <w:rsid w:val="00B62251"/>
    <w:rsid w:val="00B624D1"/>
    <w:rsid w:val="00B6539F"/>
    <w:rsid w:val="00B65C2C"/>
    <w:rsid w:val="00B81332"/>
    <w:rsid w:val="00B84ABD"/>
    <w:rsid w:val="00B86697"/>
    <w:rsid w:val="00B92188"/>
    <w:rsid w:val="00B921AA"/>
    <w:rsid w:val="00BA1E49"/>
    <w:rsid w:val="00BA2634"/>
    <w:rsid w:val="00BA403C"/>
    <w:rsid w:val="00BA7D65"/>
    <w:rsid w:val="00BB18CF"/>
    <w:rsid w:val="00BB1CC0"/>
    <w:rsid w:val="00BD1457"/>
    <w:rsid w:val="00BD4000"/>
    <w:rsid w:val="00BE24D6"/>
    <w:rsid w:val="00BE250A"/>
    <w:rsid w:val="00BE2B48"/>
    <w:rsid w:val="00BE2FED"/>
    <w:rsid w:val="00BE4306"/>
    <w:rsid w:val="00BE599F"/>
    <w:rsid w:val="00BF0E2C"/>
    <w:rsid w:val="00BF66A5"/>
    <w:rsid w:val="00C03606"/>
    <w:rsid w:val="00C0562B"/>
    <w:rsid w:val="00C0595F"/>
    <w:rsid w:val="00C06763"/>
    <w:rsid w:val="00C21AD4"/>
    <w:rsid w:val="00C223BF"/>
    <w:rsid w:val="00C23CE4"/>
    <w:rsid w:val="00C27CE2"/>
    <w:rsid w:val="00C32965"/>
    <w:rsid w:val="00C332E0"/>
    <w:rsid w:val="00C44FBC"/>
    <w:rsid w:val="00C45012"/>
    <w:rsid w:val="00C45583"/>
    <w:rsid w:val="00C50212"/>
    <w:rsid w:val="00C55C36"/>
    <w:rsid w:val="00C60A88"/>
    <w:rsid w:val="00C62973"/>
    <w:rsid w:val="00C66D37"/>
    <w:rsid w:val="00C7385C"/>
    <w:rsid w:val="00C769BC"/>
    <w:rsid w:val="00C812C3"/>
    <w:rsid w:val="00C81EA4"/>
    <w:rsid w:val="00C84D15"/>
    <w:rsid w:val="00C90E6F"/>
    <w:rsid w:val="00C94E22"/>
    <w:rsid w:val="00CA0715"/>
    <w:rsid w:val="00CA07BF"/>
    <w:rsid w:val="00CA37DD"/>
    <w:rsid w:val="00CA4D94"/>
    <w:rsid w:val="00CA4DCC"/>
    <w:rsid w:val="00CA54A3"/>
    <w:rsid w:val="00CA65B8"/>
    <w:rsid w:val="00CA764C"/>
    <w:rsid w:val="00CA7C7E"/>
    <w:rsid w:val="00CB15F5"/>
    <w:rsid w:val="00CB2100"/>
    <w:rsid w:val="00CB3101"/>
    <w:rsid w:val="00CB4B3B"/>
    <w:rsid w:val="00CB5642"/>
    <w:rsid w:val="00CB5C57"/>
    <w:rsid w:val="00CC4985"/>
    <w:rsid w:val="00CD06F3"/>
    <w:rsid w:val="00CD37DF"/>
    <w:rsid w:val="00CE11D2"/>
    <w:rsid w:val="00CE3CB2"/>
    <w:rsid w:val="00CE3D04"/>
    <w:rsid w:val="00CE7F5A"/>
    <w:rsid w:val="00CF7BB3"/>
    <w:rsid w:val="00D0524B"/>
    <w:rsid w:val="00D103D2"/>
    <w:rsid w:val="00D15D4A"/>
    <w:rsid w:val="00D20C2F"/>
    <w:rsid w:val="00D20C4B"/>
    <w:rsid w:val="00D22EA3"/>
    <w:rsid w:val="00D2547D"/>
    <w:rsid w:val="00D32089"/>
    <w:rsid w:val="00D42649"/>
    <w:rsid w:val="00D42C99"/>
    <w:rsid w:val="00D45028"/>
    <w:rsid w:val="00D45D9E"/>
    <w:rsid w:val="00D50C71"/>
    <w:rsid w:val="00D50FBA"/>
    <w:rsid w:val="00D57098"/>
    <w:rsid w:val="00D573FB"/>
    <w:rsid w:val="00D608F1"/>
    <w:rsid w:val="00D61F50"/>
    <w:rsid w:val="00D65831"/>
    <w:rsid w:val="00D723DA"/>
    <w:rsid w:val="00D74492"/>
    <w:rsid w:val="00D75536"/>
    <w:rsid w:val="00D75EB7"/>
    <w:rsid w:val="00D820A8"/>
    <w:rsid w:val="00D837E4"/>
    <w:rsid w:val="00D86732"/>
    <w:rsid w:val="00D9345E"/>
    <w:rsid w:val="00D93E8A"/>
    <w:rsid w:val="00D94146"/>
    <w:rsid w:val="00DA1278"/>
    <w:rsid w:val="00DA4884"/>
    <w:rsid w:val="00DA5D8A"/>
    <w:rsid w:val="00DB0138"/>
    <w:rsid w:val="00DB2B05"/>
    <w:rsid w:val="00DB5B03"/>
    <w:rsid w:val="00DB6612"/>
    <w:rsid w:val="00DC0C9B"/>
    <w:rsid w:val="00DC0D33"/>
    <w:rsid w:val="00DC1E8E"/>
    <w:rsid w:val="00DC22F4"/>
    <w:rsid w:val="00DC3435"/>
    <w:rsid w:val="00DC6150"/>
    <w:rsid w:val="00DC65BC"/>
    <w:rsid w:val="00DD4C7E"/>
    <w:rsid w:val="00DD5BB3"/>
    <w:rsid w:val="00DD62D2"/>
    <w:rsid w:val="00DD7DA4"/>
    <w:rsid w:val="00DE017B"/>
    <w:rsid w:val="00DE5A5B"/>
    <w:rsid w:val="00DF1025"/>
    <w:rsid w:val="00DF408E"/>
    <w:rsid w:val="00DF455D"/>
    <w:rsid w:val="00E00871"/>
    <w:rsid w:val="00E01D68"/>
    <w:rsid w:val="00E0395B"/>
    <w:rsid w:val="00E1308D"/>
    <w:rsid w:val="00E15113"/>
    <w:rsid w:val="00E16F5E"/>
    <w:rsid w:val="00E2264B"/>
    <w:rsid w:val="00E30D85"/>
    <w:rsid w:val="00E436F4"/>
    <w:rsid w:val="00E501C4"/>
    <w:rsid w:val="00E503AD"/>
    <w:rsid w:val="00E53F42"/>
    <w:rsid w:val="00E64E72"/>
    <w:rsid w:val="00E7011A"/>
    <w:rsid w:val="00E708B1"/>
    <w:rsid w:val="00E744DF"/>
    <w:rsid w:val="00E7505F"/>
    <w:rsid w:val="00E76B9F"/>
    <w:rsid w:val="00E8039B"/>
    <w:rsid w:val="00E804F8"/>
    <w:rsid w:val="00E816F0"/>
    <w:rsid w:val="00E8262F"/>
    <w:rsid w:val="00E83DF7"/>
    <w:rsid w:val="00E91BFA"/>
    <w:rsid w:val="00E93A00"/>
    <w:rsid w:val="00EA300F"/>
    <w:rsid w:val="00EA3CEA"/>
    <w:rsid w:val="00EB29CA"/>
    <w:rsid w:val="00EB2C3B"/>
    <w:rsid w:val="00EB3AD6"/>
    <w:rsid w:val="00EB5FF0"/>
    <w:rsid w:val="00EC5A72"/>
    <w:rsid w:val="00EC6D92"/>
    <w:rsid w:val="00ED62FA"/>
    <w:rsid w:val="00ED69C2"/>
    <w:rsid w:val="00EE1F29"/>
    <w:rsid w:val="00EF087C"/>
    <w:rsid w:val="00EF4381"/>
    <w:rsid w:val="00F04117"/>
    <w:rsid w:val="00F07327"/>
    <w:rsid w:val="00F1034A"/>
    <w:rsid w:val="00F1176B"/>
    <w:rsid w:val="00F12725"/>
    <w:rsid w:val="00F143D9"/>
    <w:rsid w:val="00F15BEB"/>
    <w:rsid w:val="00F3038B"/>
    <w:rsid w:val="00F36897"/>
    <w:rsid w:val="00F44A0D"/>
    <w:rsid w:val="00F51EC0"/>
    <w:rsid w:val="00F52D59"/>
    <w:rsid w:val="00F53FF4"/>
    <w:rsid w:val="00F556E9"/>
    <w:rsid w:val="00F55D55"/>
    <w:rsid w:val="00F569B1"/>
    <w:rsid w:val="00F624A4"/>
    <w:rsid w:val="00F64C96"/>
    <w:rsid w:val="00F64E13"/>
    <w:rsid w:val="00F73E9F"/>
    <w:rsid w:val="00F8023E"/>
    <w:rsid w:val="00F8259E"/>
    <w:rsid w:val="00F82AD1"/>
    <w:rsid w:val="00F83426"/>
    <w:rsid w:val="00F839DC"/>
    <w:rsid w:val="00F83A85"/>
    <w:rsid w:val="00F83BBE"/>
    <w:rsid w:val="00F8603F"/>
    <w:rsid w:val="00F90530"/>
    <w:rsid w:val="00F919FE"/>
    <w:rsid w:val="00F9591A"/>
    <w:rsid w:val="00FA466A"/>
    <w:rsid w:val="00FA567E"/>
    <w:rsid w:val="00FA5E1B"/>
    <w:rsid w:val="00FB1B9F"/>
    <w:rsid w:val="00FB1FA5"/>
    <w:rsid w:val="00FB2D15"/>
    <w:rsid w:val="00FB3497"/>
    <w:rsid w:val="00FB66F6"/>
    <w:rsid w:val="00FC029B"/>
    <w:rsid w:val="00FC51AA"/>
    <w:rsid w:val="00FC6DFC"/>
    <w:rsid w:val="00FD0B9E"/>
    <w:rsid w:val="00FD2C01"/>
    <w:rsid w:val="00FD3557"/>
    <w:rsid w:val="00FF02BD"/>
    <w:rsid w:val="00FF34DF"/>
    <w:rsid w:val="00FF587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14BA"/>
  <w15:docId w15:val="{8E76470A-9FF0-4259-8C2B-5D92780F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251"/>
    <w:pPr>
      <w:autoSpaceDE w:val="0"/>
      <w:autoSpaceDN w:val="0"/>
      <w:adjustRightInd w:val="0"/>
    </w:pPr>
    <w:rPr>
      <w:rFonts w:ascii="Calibri Light" w:hAnsi="Calibri Light" w:cs="CenturyGothic-Bold"/>
      <w:bCs/>
      <w:lang w:eastAsia="en-US"/>
    </w:rPr>
  </w:style>
  <w:style w:type="paragraph" w:styleId="Heading1">
    <w:name w:val="heading 1"/>
    <w:basedOn w:val="Normal"/>
    <w:next w:val="Normal"/>
    <w:link w:val="Heading1Char"/>
    <w:uiPriority w:val="9"/>
    <w:qFormat/>
    <w:rsid w:val="00104EF3"/>
    <w:pPr>
      <w:spacing w:after="360" w:line="216" w:lineRule="auto"/>
      <w:ind w:right="2608"/>
      <w:outlineLvl w:val="0"/>
    </w:pPr>
    <w:rPr>
      <w:rFonts w:ascii="Georgia" w:hAnsi="Georgia"/>
      <w:b/>
      <w:color w:val="00008F"/>
      <w:sz w:val="72"/>
      <w:szCs w:val="72"/>
    </w:rPr>
  </w:style>
  <w:style w:type="paragraph" w:styleId="Heading2">
    <w:name w:val="heading 2"/>
    <w:basedOn w:val="Normal"/>
    <w:next w:val="Normal"/>
    <w:link w:val="Heading2Char"/>
    <w:uiPriority w:val="9"/>
    <w:unhideWhenUsed/>
    <w:qFormat/>
    <w:rsid w:val="00921B14"/>
    <w:pPr>
      <w:spacing w:after="1080"/>
      <w:outlineLvl w:val="1"/>
    </w:pPr>
    <w:rPr>
      <w:rFonts w:ascii="Calibri" w:hAnsi="Calibri"/>
      <w:color w:val="00008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697"/>
    <w:pPr>
      <w:tabs>
        <w:tab w:val="center" w:pos="4513"/>
        <w:tab w:val="right" w:pos="9026"/>
      </w:tabs>
    </w:pPr>
  </w:style>
  <w:style w:type="character" w:customStyle="1" w:styleId="HeaderChar">
    <w:name w:val="Header Char"/>
    <w:basedOn w:val="DefaultParagraphFont"/>
    <w:link w:val="Header"/>
    <w:uiPriority w:val="99"/>
    <w:rsid w:val="00B86697"/>
  </w:style>
  <w:style w:type="paragraph" w:styleId="Footer">
    <w:name w:val="footer"/>
    <w:basedOn w:val="Normal"/>
    <w:link w:val="FooterChar"/>
    <w:uiPriority w:val="99"/>
    <w:unhideWhenUsed/>
    <w:rsid w:val="00B86697"/>
    <w:pPr>
      <w:tabs>
        <w:tab w:val="center" w:pos="4513"/>
        <w:tab w:val="right" w:pos="9026"/>
      </w:tabs>
    </w:pPr>
  </w:style>
  <w:style w:type="character" w:customStyle="1" w:styleId="FooterChar">
    <w:name w:val="Footer Char"/>
    <w:basedOn w:val="DefaultParagraphFont"/>
    <w:link w:val="Footer"/>
    <w:uiPriority w:val="99"/>
    <w:rsid w:val="00B86697"/>
  </w:style>
  <w:style w:type="character" w:customStyle="1" w:styleId="Heading1Char">
    <w:name w:val="Heading 1 Char"/>
    <w:link w:val="Heading1"/>
    <w:uiPriority w:val="9"/>
    <w:rsid w:val="00104EF3"/>
    <w:rPr>
      <w:rFonts w:ascii="Georgia" w:hAnsi="Georgia" w:cs="CenturyGothic-Bold"/>
      <w:b/>
      <w:bCs/>
      <w:color w:val="00008F"/>
      <w:sz w:val="72"/>
      <w:szCs w:val="72"/>
      <w:lang w:eastAsia="en-US"/>
    </w:rPr>
  </w:style>
  <w:style w:type="character" w:customStyle="1" w:styleId="Heading2Char">
    <w:name w:val="Heading 2 Char"/>
    <w:link w:val="Heading2"/>
    <w:uiPriority w:val="9"/>
    <w:rsid w:val="00921B14"/>
    <w:rPr>
      <w:rFonts w:cs="CenturyGothic-Bold"/>
      <w:bCs/>
      <w:color w:val="00008F"/>
      <w:sz w:val="36"/>
      <w:szCs w:val="36"/>
    </w:rPr>
  </w:style>
  <w:style w:type="paragraph" w:customStyle="1" w:styleId="Identifier">
    <w:name w:val="Identifier"/>
    <w:basedOn w:val="Forprofessionalinvestorsonly"/>
    <w:link w:val="IdentifierChar"/>
    <w:qFormat/>
    <w:rsid w:val="00104EF3"/>
    <w:pPr>
      <w:ind w:left="709"/>
      <w:jc w:val="right"/>
    </w:pPr>
    <w:rPr>
      <w:color w:val="000000"/>
    </w:rPr>
  </w:style>
  <w:style w:type="paragraph" w:customStyle="1" w:styleId="Forprofessionalinvestorsonly">
    <w:name w:val="For professional investors only"/>
    <w:basedOn w:val="Footer"/>
    <w:link w:val="ForprofessionalinvestorsonlyChar"/>
    <w:qFormat/>
    <w:rsid w:val="00495F01"/>
    <w:rPr>
      <w:color w:val="808080"/>
    </w:rPr>
  </w:style>
  <w:style w:type="character" w:customStyle="1" w:styleId="IdentifierChar">
    <w:name w:val="Identifier Char"/>
    <w:link w:val="Identifier"/>
    <w:rsid w:val="00104EF3"/>
    <w:rPr>
      <w:rFonts w:ascii="Calibri Light" w:hAnsi="Calibri Light" w:cs="CenturyGothic-Bold"/>
      <w:bCs/>
      <w:color w:val="000000"/>
      <w:lang w:eastAsia="en-US"/>
    </w:rPr>
  </w:style>
  <w:style w:type="character" w:customStyle="1" w:styleId="ForprofessionalinvestorsonlyChar">
    <w:name w:val="For professional investors only Char"/>
    <w:link w:val="Forprofessionalinvestorsonly"/>
    <w:rsid w:val="00495F01"/>
    <w:rPr>
      <w:rFonts w:ascii="Calibri Light" w:hAnsi="Calibri Light" w:cs="CenturyGothic-Bold"/>
      <w:bCs/>
      <w:color w:val="808080"/>
      <w:sz w:val="20"/>
      <w:szCs w:val="20"/>
    </w:rPr>
  </w:style>
  <w:style w:type="paragraph" w:customStyle="1" w:styleId="Byline">
    <w:name w:val="Byline"/>
    <w:basedOn w:val="Normal"/>
    <w:link w:val="BylineChar"/>
    <w:qFormat/>
    <w:rsid w:val="00886711"/>
    <w:pPr>
      <w:spacing w:after="240"/>
    </w:pPr>
    <w:rPr>
      <w:rFonts w:ascii="Calibri" w:hAnsi="Calibri"/>
      <w:b/>
      <w:noProof/>
      <w:color w:val="00008F"/>
      <w:sz w:val="24"/>
      <w:szCs w:val="24"/>
    </w:rPr>
  </w:style>
  <w:style w:type="character" w:customStyle="1" w:styleId="BylineChar">
    <w:name w:val="Byline Char"/>
    <w:link w:val="Byline"/>
    <w:rsid w:val="00886711"/>
    <w:rPr>
      <w:rFonts w:cs="CenturyGothic-Bold"/>
      <w:b/>
      <w:bCs/>
      <w:noProof/>
      <w:color w:val="00008F"/>
      <w:sz w:val="24"/>
      <w:szCs w:val="24"/>
      <w:lang w:eastAsia="en-US"/>
    </w:rPr>
  </w:style>
  <w:style w:type="paragraph" w:styleId="Caption">
    <w:name w:val="caption"/>
    <w:basedOn w:val="Normal"/>
    <w:next w:val="Normal"/>
    <w:uiPriority w:val="35"/>
    <w:semiHidden/>
    <w:unhideWhenUsed/>
    <w:qFormat/>
    <w:rsid w:val="00886711"/>
    <w:rPr>
      <w:b/>
    </w:rPr>
  </w:style>
  <w:style w:type="paragraph" w:customStyle="1" w:styleId="Figureheading">
    <w:name w:val="Figure heading"/>
    <w:basedOn w:val="Normal"/>
    <w:link w:val="FigureheadingChar"/>
    <w:qFormat/>
    <w:rsid w:val="00886711"/>
    <w:pPr>
      <w:keepNext/>
    </w:pPr>
    <w:rPr>
      <w:rFonts w:ascii="Calibri" w:hAnsi="Calibri"/>
      <w:noProof/>
      <w:color w:val="00008F"/>
      <w:sz w:val="24"/>
      <w:szCs w:val="24"/>
    </w:rPr>
  </w:style>
  <w:style w:type="paragraph" w:customStyle="1" w:styleId="Source">
    <w:name w:val="Source"/>
    <w:basedOn w:val="Normal"/>
    <w:link w:val="SourceChar"/>
    <w:qFormat/>
    <w:rsid w:val="00886711"/>
    <w:pPr>
      <w:spacing w:after="160"/>
    </w:pPr>
    <w:rPr>
      <w:i/>
      <w:sz w:val="16"/>
      <w:szCs w:val="16"/>
    </w:rPr>
  </w:style>
  <w:style w:type="character" w:customStyle="1" w:styleId="FigureheadingChar">
    <w:name w:val="Figure heading Char"/>
    <w:link w:val="Figureheading"/>
    <w:rsid w:val="00886711"/>
    <w:rPr>
      <w:rFonts w:cs="CenturyGothic-Bold"/>
      <w:bCs/>
      <w:noProof/>
      <w:color w:val="00008F"/>
      <w:sz w:val="24"/>
      <w:szCs w:val="24"/>
      <w:lang w:eastAsia="en-US"/>
    </w:rPr>
  </w:style>
  <w:style w:type="paragraph" w:customStyle="1" w:styleId="Subheading">
    <w:name w:val="Subheading"/>
    <w:basedOn w:val="Byline"/>
    <w:link w:val="SubheadingChar"/>
    <w:qFormat/>
    <w:rsid w:val="00886711"/>
    <w:pPr>
      <w:spacing w:before="120" w:after="120"/>
    </w:pPr>
    <w:rPr>
      <w:color w:val="000000"/>
    </w:rPr>
  </w:style>
  <w:style w:type="character" w:customStyle="1" w:styleId="SourceChar">
    <w:name w:val="Source Char"/>
    <w:link w:val="Source"/>
    <w:rsid w:val="00886711"/>
    <w:rPr>
      <w:rFonts w:ascii="Calibri Light" w:hAnsi="Calibri Light" w:cs="CenturyGothic-Bold"/>
      <w:bCs/>
      <w:i/>
      <w:sz w:val="16"/>
      <w:szCs w:val="16"/>
      <w:lang w:eastAsia="en-US"/>
    </w:rPr>
  </w:style>
  <w:style w:type="table" w:styleId="TableGrid">
    <w:name w:val="Table Grid"/>
    <w:basedOn w:val="Grilledetableauclaire1"/>
    <w:uiPriority w:val="39"/>
    <w:rsid w:val="003A765E"/>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CellMar>
        <w:left w:w="0" w:type="dxa"/>
        <w:right w:w="0" w:type="dxa"/>
      </w:tblCellMar>
    </w:tblPr>
    <w:tblStylePr w:type="firstRow">
      <w:rPr>
        <w:rFonts w:ascii="Calibri" w:hAnsi="Calibri"/>
        <w:b/>
        <w:color w:val="00008F"/>
      </w:rPr>
    </w:tblStylePr>
  </w:style>
  <w:style w:type="character" w:customStyle="1" w:styleId="SubheadingChar">
    <w:name w:val="Subheading Char"/>
    <w:link w:val="Subheading"/>
    <w:rsid w:val="00886711"/>
    <w:rPr>
      <w:rFonts w:cs="CenturyGothic-Bold"/>
      <w:b/>
      <w:bCs/>
      <w:noProof/>
      <w:color w:val="000000"/>
      <w:sz w:val="24"/>
      <w:szCs w:val="24"/>
      <w:lang w:eastAsia="en-US"/>
    </w:rPr>
  </w:style>
  <w:style w:type="table" w:customStyle="1" w:styleId="TableauGrille2-Accentuation11">
    <w:name w:val="Tableau Grille 2 - Accentuation 11"/>
    <w:basedOn w:val="TableNormal"/>
    <w:uiPriority w:val="47"/>
    <w:rsid w:val="0088671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Liste2-Accentuation11">
    <w:name w:val="Tableau Liste 2 - Accentuation 11"/>
    <w:basedOn w:val="TableNormal"/>
    <w:uiPriority w:val="47"/>
    <w:rsid w:val="00886711"/>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heading">
    <w:name w:val="Table heading"/>
    <w:basedOn w:val="Normal"/>
    <w:link w:val="TableheadingChar"/>
    <w:qFormat/>
    <w:rsid w:val="009D7012"/>
    <w:rPr>
      <w:b/>
      <w:bCs w:val="0"/>
      <w:color w:val="00008F"/>
    </w:rPr>
  </w:style>
  <w:style w:type="table" w:customStyle="1" w:styleId="AXA">
    <w:name w:val="AXA"/>
    <w:basedOn w:val="TableNormal"/>
    <w:uiPriority w:val="99"/>
    <w:rsid w:val="00CB5C57"/>
    <w:tblPr/>
  </w:style>
  <w:style w:type="character" w:customStyle="1" w:styleId="TableheadingChar">
    <w:name w:val="Table heading Char"/>
    <w:link w:val="Tableheading"/>
    <w:rsid w:val="009D7012"/>
    <w:rPr>
      <w:rFonts w:ascii="Calibri Light" w:hAnsi="Calibri Light" w:cs="CenturyGothic-Bold"/>
      <w:b/>
      <w:color w:val="00008F"/>
      <w:lang w:eastAsia="en-US"/>
    </w:rPr>
  </w:style>
  <w:style w:type="paragraph" w:customStyle="1" w:styleId="Disclaimer">
    <w:name w:val="Disclaimer"/>
    <w:basedOn w:val="Normal"/>
    <w:link w:val="DisclaimerChar"/>
    <w:qFormat/>
    <w:rsid w:val="008A6F0E"/>
    <w:pPr>
      <w:jc w:val="both"/>
    </w:pPr>
    <w:rPr>
      <w:color w:val="808080"/>
      <w:sz w:val="16"/>
      <w:szCs w:val="16"/>
    </w:rPr>
  </w:style>
  <w:style w:type="table" w:customStyle="1" w:styleId="Grilledetableauclaire1">
    <w:name w:val="Grille de tableau claire1"/>
    <w:basedOn w:val="TableNormal"/>
    <w:uiPriority w:val="40"/>
    <w:rsid w:val="00CB5C5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link w:val="ListParagraphChar"/>
    <w:uiPriority w:val="34"/>
    <w:qFormat/>
    <w:rsid w:val="008A6F0E"/>
    <w:pPr>
      <w:numPr>
        <w:numId w:val="1"/>
      </w:numPr>
      <w:ind w:left="284" w:hanging="256"/>
    </w:pPr>
  </w:style>
  <w:style w:type="character" w:customStyle="1" w:styleId="DisclaimerChar">
    <w:name w:val="Disclaimer Char"/>
    <w:link w:val="Disclaimer"/>
    <w:rsid w:val="008A6F0E"/>
    <w:rPr>
      <w:rFonts w:ascii="Calibri Light" w:hAnsi="Calibri Light" w:cs="CenturyGothic-Bold"/>
      <w:bCs/>
      <w:color w:val="808080"/>
      <w:sz w:val="16"/>
      <w:szCs w:val="16"/>
      <w:lang w:eastAsia="en-US"/>
    </w:rPr>
  </w:style>
  <w:style w:type="character" w:styleId="CommentReference">
    <w:name w:val="annotation reference"/>
    <w:uiPriority w:val="99"/>
    <w:semiHidden/>
    <w:unhideWhenUsed/>
    <w:rsid w:val="0057790A"/>
    <w:rPr>
      <w:sz w:val="16"/>
      <w:szCs w:val="16"/>
    </w:rPr>
  </w:style>
  <w:style w:type="paragraph" w:styleId="CommentText">
    <w:name w:val="annotation text"/>
    <w:basedOn w:val="Normal"/>
    <w:link w:val="CommentTextChar"/>
    <w:uiPriority w:val="99"/>
    <w:unhideWhenUsed/>
    <w:rsid w:val="0057790A"/>
  </w:style>
  <w:style w:type="character" w:customStyle="1" w:styleId="CommentTextChar">
    <w:name w:val="Comment Text Char"/>
    <w:link w:val="CommentText"/>
    <w:uiPriority w:val="99"/>
    <w:rsid w:val="0057790A"/>
    <w:rPr>
      <w:rFonts w:ascii="Calibri Light" w:hAnsi="Calibri Light" w:cs="CenturyGothic-Bold"/>
      <w:bCs/>
      <w:lang w:eastAsia="en-US"/>
    </w:rPr>
  </w:style>
  <w:style w:type="paragraph" w:styleId="CommentSubject">
    <w:name w:val="annotation subject"/>
    <w:basedOn w:val="CommentText"/>
    <w:next w:val="CommentText"/>
    <w:link w:val="CommentSubjectChar"/>
    <w:uiPriority w:val="99"/>
    <w:semiHidden/>
    <w:unhideWhenUsed/>
    <w:rsid w:val="0057790A"/>
    <w:rPr>
      <w:b/>
    </w:rPr>
  </w:style>
  <w:style w:type="character" w:customStyle="1" w:styleId="CommentSubjectChar">
    <w:name w:val="Comment Subject Char"/>
    <w:link w:val="CommentSubject"/>
    <w:uiPriority w:val="99"/>
    <w:semiHidden/>
    <w:rsid w:val="0057790A"/>
    <w:rPr>
      <w:rFonts w:ascii="Calibri Light" w:hAnsi="Calibri Light" w:cs="CenturyGothic-Bold"/>
      <w:b/>
      <w:bCs/>
      <w:lang w:eastAsia="en-US"/>
    </w:rPr>
  </w:style>
  <w:style w:type="paragraph" w:styleId="BalloonText">
    <w:name w:val="Balloon Text"/>
    <w:basedOn w:val="Normal"/>
    <w:link w:val="BalloonTextChar"/>
    <w:uiPriority w:val="99"/>
    <w:semiHidden/>
    <w:unhideWhenUsed/>
    <w:rsid w:val="0057790A"/>
    <w:rPr>
      <w:rFonts w:ascii="Segoe UI" w:hAnsi="Segoe UI" w:cs="Segoe UI"/>
      <w:sz w:val="18"/>
      <w:szCs w:val="18"/>
    </w:rPr>
  </w:style>
  <w:style w:type="character" w:customStyle="1" w:styleId="BalloonTextChar">
    <w:name w:val="Balloon Text Char"/>
    <w:link w:val="BalloonText"/>
    <w:uiPriority w:val="99"/>
    <w:semiHidden/>
    <w:rsid w:val="0057790A"/>
    <w:rPr>
      <w:rFonts w:ascii="Segoe UI" w:hAnsi="Segoe UI" w:cs="Segoe UI"/>
      <w:bCs/>
      <w:sz w:val="18"/>
      <w:szCs w:val="18"/>
      <w:lang w:eastAsia="en-US"/>
    </w:rPr>
  </w:style>
  <w:style w:type="paragraph" w:customStyle="1" w:styleId="Compliance">
    <w:name w:val="Compliance"/>
    <w:basedOn w:val="Identifier"/>
    <w:link w:val="ComplianceChar"/>
    <w:qFormat/>
    <w:rsid w:val="00FF02BD"/>
    <w:pPr>
      <w:spacing w:after="480"/>
      <w:ind w:left="0"/>
      <w:jc w:val="left"/>
    </w:pPr>
    <w:rPr>
      <w:sz w:val="16"/>
      <w:szCs w:val="16"/>
    </w:rPr>
  </w:style>
  <w:style w:type="character" w:customStyle="1" w:styleId="ComplianceChar">
    <w:name w:val="Compliance Char"/>
    <w:basedOn w:val="IdentifierChar"/>
    <w:link w:val="Compliance"/>
    <w:rsid w:val="00FF02BD"/>
    <w:rPr>
      <w:rFonts w:ascii="Calibri Light" w:hAnsi="Calibri Light" w:cs="CenturyGothic-Bold"/>
      <w:bCs/>
      <w:color w:val="000000"/>
      <w:sz w:val="16"/>
      <w:szCs w:val="16"/>
      <w:lang w:eastAsia="en-US"/>
    </w:rPr>
  </w:style>
  <w:style w:type="paragraph" w:customStyle="1" w:styleId="address">
    <w:name w:val="address"/>
    <w:basedOn w:val="Footer"/>
    <w:qFormat/>
    <w:rsid w:val="003A6D41"/>
    <w:pPr>
      <w:tabs>
        <w:tab w:val="clear" w:pos="4513"/>
        <w:tab w:val="clear" w:pos="9026"/>
        <w:tab w:val="center" w:pos="4536"/>
        <w:tab w:val="right" w:pos="9072"/>
      </w:tabs>
      <w:autoSpaceDE/>
      <w:autoSpaceDN/>
      <w:adjustRightInd/>
      <w:spacing w:line="172" w:lineRule="exact"/>
      <w:ind w:right="-1134"/>
      <w:jc w:val="right"/>
    </w:pPr>
    <w:rPr>
      <w:rFonts w:ascii="Arial Narrow" w:hAnsi="Arial Narrow" w:cs="Arial"/>
      <w:bCs w:val="0"/>
      <w:color w:val="575757"/>
      <w:sz w:val="16"/>
      <w:szCs w:val="16"/>
      <w:lang w:val="en-US"/>
    </w:rPr>
  </w:style>
  <w:style w:type="paragraph" w:customStyle="1" w:styleId="currenttext">
    <w:name w:val="current text"/>
    <w:basedOn w:val="Normal"/>
    <w:uiPriority w:val="99"/>
    <w:qFormat/>
    <w:rsid w:val="00911E4B"/>
    <w:pPr>
      <w:autoSpaceDE/>
      <w:autoSpaceDN/>
      <w:adjustRightInd/>
      <w:spacing w:line="240" w:lineRule="exact"/>
      <w:jc w:val="both"/>
    </w:pPr>
    <w:rPr>
      <w:rFonts w:ascii="Arial" w:hAnsi="Arial" w:cs="Arial"/>
      <w:bCs w:val="0"/>
      <w:color w:val="333333"/>
      <w:szCs w:val="22"/>
      <w:lang w:val="fr-FR"/>
    </w:rPr>
  </w:style>
  <w:style w:type="character" w:styleId="Hyperlink">
    <w:name w:val="Hyperlink"/>
    <w:basedOn w:val="DefaultParagraphFont"/>
    <w:uiPriority w:val="99"/>
    <w:unhideWhenUsed/>
    <w:rsid w:val="00397724"/>
    <w:rPr>
      <w:color w:val="0000FF"/>
      <w:u w:val="single"/>
    </w:rPr>
  </w:style>
  <w:style w:type="paragraph" w:customStyle="1" w:styleId="Default">
    <w:name w:val="Default"/>
    <w:basedOn w:val="Normal"/>
    <w:rsid w:val="0029190B"/>
    <w:pPr>
      <w:adjustRightInd/>
    </w:pPr>
    <w:rPr>
      <w:rFonts w:ascii="Calibri" w:eastAsiaTheme="minorEastAsia" w:hAnsi="Calibri" w:cs="Times New Roman"/>
      <w:bCs w:val="0"/>
      <w:color w:val="000000"/>
      <w:sz w:val="24"/>
      <w:szCs w:val="24"/>
      <w:lang w:eastAsia="zh-TW"/>
    </w:rPr>
  </w:style>
  <w:style w:type="paragraph" w:styleId="FootnoteText">
    <w:name w:val="footnote text"/>
    <w:basedOn w:val="Normal"/>
    <w:link w:val="FootnoteTextChar"/>
    <w:uiPriority w:val="99"/>
    <w:semiHidden/>
    <w:unhideWhenUsed/>
    <w:rsid w:val="0029190B"/>
  </w:style>
  <w:style w:type="character" w:customStyle="1" w:styleId="FootnoteTextChar">
    <w:name w:val="Footnote Text Char"/>
    <w:basedOn w:val="DefaultParagraphFont"/>
    <w:link w:val="FootnoteText"/>
    <w:uiPriority w:val="99"/>
    <w:semiHidden/>
    <w:rsid w:val="0029190B"/>
    <w:rPr>
      <w:rFonts w:ascii="Calibri Light" w:hAnsi="Calibri Light" w:cs="CenturyGothic-Bold"/>
      <w:bCs/>
      <w:lang w:eastAsia="en-US"/>
    </w:rPr>
  </w:style>
  <w:style w:type="character" w:styleId="FootnoteReference">
    <w:name w:val="footnote reference"/>
    <w:basedOn w:val="DefaultParagraphFont"/>
    <w:uiPriority w:val="99"/>
    <w:semiHidden/>
    <w:unhideWhenUsed/>
    <w:rsid w:val="0029190B"/>
    <w:rPr>
      <w:vertAlign w:val="superscript"/>
    </w:rPr>
  </w:style>
  <w:style w:type="character" w:customStyle="1" w:styleId="ListParagraphChar">
    <w:name w:val="List Paragraph Char"/>
    <w:link w:val="ListParagraph"/>
    <w:uiPriority w:val="34"/>
    <w:rsid w:val="00F83A85"/>
    <w:rPr>
      <w:rFonts w:ascii="Calibri Light" w:hAnsi="Calibri Light" w:cs="CenturyGothic-Bold"/>
      <w:bCs/>
      <w:lang w:eastAsia="en-US"/>
    </w:rPr>
  </w:style>
  <w:style w:type="character" w:customStyle="1" w:styleId="date11">
    <w:name w:val="date11"/>
    <w:rsid w:val="00AC2386"/>
    <w:rPr>
      <w:rFonts w:ascii="Arial" w:hAnsi="Arial" w:cs="Arial" w:hint="default"/>
      <w:color w:val="0E6FA9"/>
      <w:sz w:val="15"/>
      <w:szCs w:val="15"/>
    </w:rPr>
  </w:style>
  <w:style w:type="paragraph" w:styleId="PlainText">
    <w:name w:val="Plain Text"/>
    <w:basedOn w:val="Normal"/>
    <w:link w:val="PlainTextChar"/>
    <w:uiPriority w:val="99"/>
    <w:unhideWhenUsed/>
    <w:rsid w:val="00AC2386"/>
    <w:pPr>
      <w:autoSpaceDE/>
      <w:autoSpaceDN/>
      <w:adjustRightInd/>
    </w:pPr>
    <w:rPr>
      <w:rFonts w:ascii="Calibri" w:eastAsia="SimSun" w:hAnsi="Calibri" w:cs="Consolas"/>
      <w:bCs w:val="0"/>
      <w:sz w:val="22"/>
      <w:szCs w:val="21"/>
      <w:lang w:eastAsia="zh-CN"/>
    </w:rPr>
  </w:style>
  <w:style w:type="character" w:customStyle="1" w:styleId="PlainTextChar">
    <w:name w:val="Plain Text Char"/>
    <w:basedOn w:val="DefaultParagraphFont"/>
    <w:link w:val="PlainText"/>
    <w:uiPriority w:val="99"/>
    <w:rsid w:val="00AC2386"/>
    <w:rPr>
      <w:rFonts w:eastAsia="SimSun" w:cs="Consolas"/>
      <w:sz w:val="22"/>
      <w:szCs w:val="21"/>
      <w:lang w:eastAsia="zh-CN"/>
    </w:rPr>
  </w:style>
  <w:style w:type="character" w:styleId="UnresolvedMention">
    <w:name w:val="Unresolved Mention"/>
    <w:basedOn w:val="DefaultParagraphFont"/>
    <w:uiPriority w:val="99"/>
    <w:semiHidden/>
    <w:unhideWhenUsed/>
    <w:rsid w:val="00A05080"/>
    <w:rPr>
      <w:color w:val="605E5C"/>
      <w:shd w:val="clear" w:color="auto" w:fill="E1DFDD"/>
    </w:rPr>
  </w:style>
  <w:style w:type="character" w:customStyle="1" w:styleId="tlid-translation">
    <w:name w:val="tlid-translation"/>
    <w:basedOn w:val="DefaultParagraphFont"/>
    <w:rsid w:val="00790658"/>
  </w:style>
  <w:style w:type="paragraph" w:styleId="NormalWeb">
    <w:name w:val="Normal (Web)"/>
    <w:basedOn w:val="Normal"/>
    <w:uiPriority w:val="99"/>
    <w:unhideWhenUsed/>
    <w:rsid w:val="001C0B74"/>
    <w:pPr>
      <w:autoSpaceDE/>
      <w:autoSpaceDN/>
      <w:adjustRightInd/>
      <w:spacing w:before="100" w:beforeAutospacing="1" w:after="100" w:afterAutospacing="1"/>
    </w:pPr>
    <w:rPr>
      <w:rFonts w:ascii="Times New Roman" w:eastAsia="Times New Roman" w:hAnsi="Times New Roman" w:cs="Times New Roman"/>
      <w:bCs w:val="0"/>
      <w:sz w:val="24"/>
      <w:szCs w:val="24"/>
      <w:lang w:val="fr-FR" w:eastAsia="zh-CN"/>
    </w:rPr>
  </w:style>
  <w:style w:type="character" w:styleId="Strong">
    <w:name w:val="Strong"/>
    <w:basedOn w:val="DefaultParagraphFont"/>
    <w:uiPriority w:val="22"/>
    <w:qFormat/>
    <w:rsid w:val="001C0B74"/>
    <w:rPr>
      <w:b/>
      <w:bCs/>
    </w:rPr>
  </w:style>
  <w:style w:type="character" w:customStyle="1" w:styleId="A4">
    <w:name w:val="A4"/>
    <w:uiPriority w:val="99"/>
    <w:rsid w:val="00491135"/>
    <w:rPr>
      <w:rFonts w:cs="Source Sans Pro SemiBold"/>
      <w:b/>
      <w:bCs/>
      <w:color w:val="000000"/>
      <w:sz w:val="22"/>
      <w:szCs w:val="22"/>
    </w:rPr>
  </w:style>
  <w:style w:type="character" w:customStyle="1" w:styleId="A5">
    <w:name w:val="A5"/>
    <w:uiPriority w:val="99"/>
    <w:rsid w:val="00491135"/>
    <w:rPr>
      <w:rFonts w:cs="Source Sans Pro SemiBold"/>
      <w:b/>
      <w:bCs/>
      <w:color w:val="000000"/>
      <w:sz w:val="22"/>
      <w:szCs w:val="22"/>
      <w:u w:val="single"/>
    </w:rPr>
  </w:style>
  <w:style w:type="paragraph" w:styleId="Revision">
    <w:name w:val="Revision"/>
    <w:hidden/>
    <w:uiPriority w:val="99"/>
    <w:semiHidden/>
    <w:rsid w:val="00B274BB"/>
    <w:rPr>
      <w:rFonts w:ascii="Calibri Light" w:hAnsi="Calibri Light" w:cs="CenturyGothic-Bold"/>
      <w:bCs/>
      <w:lang w:eastAsia="en-US"/>
    </w:rPr>
  </w:style>
  <w:style w:type="character" w:styleId="Emphasis">
    <w:name w:val="Emphasis"/>
    <w:basedOn w:val="DefaultParagraphFont"/>
    <w:uiPriority w:val="20"/>
    <w:qFormat/>
    <w:rsid w:val="00480093"/>
    <w:rPr>
      <w:i/>
      <w:iCs/>
    </w:rPr>
  </w:style>
  <w:style w:type="character" w:customStyle="1" w:styleId="f181">
    <w:name w:val="f181"/>
    <w:basedOn w:val="DefaultParagraphFont"/>
    <w:rsid w:val="00480093"/>
    <w:rPr>
      <w:sz w:val="27"/>
      <w:szCs w:val="27"/>
    </w:rPr>
  </w:style>
  <w:style w:type="paragraph" w:customStyle="1" w:styleId="msipfooter85d0b3e5">
    <w:name w:val="msipfooter85d0b3e5"/>
    <w:basedOn w:val="Normal"/>
    <w:rsid w:val="00CA4D94"/>
    <w:pPr>
      <w:autoSpaceDE/>
      <w:autoSpaceDN/>
      <w:adjustRightInd/>
      <w:spacing w:before="100" w:beforeAutospacing="1" w:after="100" w:afterAutospacing="1"/>
    </w:pPr>
    <w:rPr>
      <w:rFonts w:ascii="Calibri" w:eastAsiaTheme="minorHAnsi" w:hAnsi="Calibri" w:cs="Calibri"/>
      <w:bCs w:val="0"/>
      <w:sz w:val="22"/>
      <w:szCs w:val="22"/>
      <w:lang w:val="fr-FR" w:eastAsia="fr-FR"/>
    </w:rPr>
  </w:style>
  <w:style w:type="paragraph" w:styleId="HTMLPreformatted">
    <w:name w:val="HTML Preformatted"/>
    <w:basedOn w:val="Normal"/>
    <w:link w:val="HTMLPreformattedChar"/>
    <w:uiPriority w:val="99"/>
    <w:semiHidden/>
    <w:unhideWhenUsed/>
    <w:rsid w:val="003E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bCs w:val="0"/>
      <w:lang w:val="fr-FR" w:eastAsia="fr-FR"/>
    </w:rPr>
  </w:style>
  <w:style w:type="character" w:customStyle="1" w:styleId="HTMLPreformattedChar">
    <w:name w:val="HTML Preformatted Char"/>
    <w:basedOn w:val="DefaultParagraphFont"/>
    <w:link w:val="HTMLPreformatted"/>
    <w:uiPriority w:val="99"/>
    <w:semiHidden/>
    <w:rsid w:val="003E2B21"/>
    <w:rPr>
      <w:rFonts w:ascii="Courier New" w:eastAsia="Times New Roman" w:hAnsi="Courier New" w:cs="Courier New"/>
      <w:lang w:val="fr-FR" w:eastAsia="fr-FR"/>
    </w:rPr>
  </w:style>
  <w:style w:type="paragraph" w:styleId="EndnoteText">
    <w:name w:val="endnote text"/>
    <w:basedOn w:val="Normal"/>
    <w:link w:val="EndnoteTextChar"/>
    <w:uiPriority w:val="99"/>
    <w:semiHidden/>
    <w:unhideWhenUsed/>
    <w:rsid w:val="00E7505F"/>
  </w:style>
  <w:style w:type="character" w:customStyle="1" w:styleId="EndnoteTextChar">
    <w:name w:val="Endnote Text Char"/>
    <w:basedOn w:val="DefaultParagraphFont"/>
    <w:link w:val="EndnoteText"/>
    <w:uiPriority w:val="99"/>
    <w:semiHidden/>
    <w:rsid w:val="00E7505F"/>
    <w:rPr>
      <w:rFonts w:ascii="Calibri Light" w:hAnsi="Calibri Light" w:cs="CenturyGothic-Bold"/>
      <w:bCs/>
      <w:lang w:eastAsia="en-US"/>
    </w:rPr>
  </w:style>
  <w:style w:type="character" w:styleId="EndnoteReference">
    <w:name w:val="endnote reference"/>
    <w:basedOn w:val="DefaultParagraphFont"/>
    <w:uiPriority w:val="99"/>
    <w:semiHidden/>
    <w:unhideWhenUsed/>
    <w:rsid w:val="00E75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1811">
      <w:bodyDiv w:val="1"/>
      <w:marLeft w:val="0"/>
      <w:marRight w:val="0"/>
      <w:marTop w:val="0"/>
      <w:marBottom w:val="0"/>
      <w:divBdr>
        <w:top w:val="none" w:sz="0" w:space="0" w:color="auto"/>
        <w:left w:val="none" w:sz="0" w:space="0" w:color="auto"/>
        <w:bottom w:val="none" w:sz="0" w:space="0" w:color="auto"/>
        <w:right w:val="none" w:sz="0" w:space="0" w:color="auto"/>
      </w:divBdr>
    </w:div>
    <w:div w:id="44568042">
      <w:bodyDiv w:val="1"/>
      <w:marLeft w:val="0"/>
      <w:marRight w:val="0"/>
      <w:marTop w:val="0"/>
      <w:marBottom w:val="0"/>
      <w:divBdr>
        <w:top w:val="none" w:sz="0" w:space="0" w:color="auto"/>
        <w:left w:val="none" w:sz="0" w:space="0" w:color="auto"/>
        <w:bottom w:val="none" w:sz="0" w:space="0" w:color="auto"/>
        <w:right w:val="none" w:sz="0" w:space="0" w:color="auto"/>
      </w:divBdr>
    </w:div>
    <w:div w:id="67113569">
      <w:bodyDiv w:val="1"/>
      <w:marLeft w:val="0"/>
      <w:marRight w:val="0"/>
      <w:marTop w:val="0"/>
      <w:marBottom w:val="0"/>
      <w:divBdr>
        <w:top w:val="none" w:sz="0" w:space="0" w:color="auto"/>
        <w:left w:val="none" w:sz="0" w:space="0" w:color="auto"/>
        <w:bottom w:val="none" w:sz="0" w:space="0" w:color="auto"/>
        <w:right w:val="none" w:sz="0" w:space="0" w:color="auto"/>
      </w:divBdr>
    </w:div>
    <w:div w:id="74670343">
      <w:bodyDiv w:val="1"/>
      <w:marLeft w:val="0"/>
      <w:marRight w:val="0"/>
      <w:marTop w:val="0"/>
      <w:marBottom w:val="0"/>
      <w:divBdr>
        <w:top w:val="none" w:sz="0" w:space="0" w:color="auto"/>
        <w:left w:val="none" w:sz="0" w:space="0" w:color="auto"/>
        <w:bottom w:val="none" w:sz="0" w:space="0" w:color="auto"/>
        <w:right w:val="none" w:sz="0" w:space="0" w:color="auto"/>
      </w:divBdr>
    </w:div>
    <w:div w:id="144399275">
      <w:bodyDiv w:val="1"/>
      <w:marLeft w:val="0"/>
      <w:marRight w:val="0"/>
      <w:marTop w:val="0"/>
      <w:marBottom w:val="0"/>
      <w:divBdr>
        <w:top w:val="none" w:sz="0" w:space="0" w:color="auto"/>
        <w:left w:val="none" w:sz="0" w:space="0" w:color="auto"/>
        <w:bottom w:val="none" w:sz="0" w:space="0" w:color="auto"/>
        <w:right w:val="none" w:sz="0" w:space="0" w:color="auto"/>
      </w:divBdr>
    </w:div>
    <w:div w:id="196042753">
      <w:bodyDiv w:val="1"/>
      <w:marLeft w:val="0"/>
      <w:marRight w:val="0"/>
      <w:marTop w:val="0"/>
      <w:marBottom w:val="0"/>
      <w:divBdr>
        <w:top w:val="none" w:sz="0" w:space="0" w:color="auto"/>
        <w:left w:val="none" w:sz="0" w:space="0" w:color="auto"/>
        <w:bottom w:val="none" w:sz="0" w:space="0" w:color="auto"/>
        <w:right w:val="none" w:sz="0" w:space="0" w:color="auto"/>
      </w:divBdr>
    </w:div>
    <w:div w:id="218715623">
      <w:bodyDiv w:val="1"/>
      <w:marLeft w:val="0"/>
      <w:marRight w:val="0"/>
      <w:marTop w:val="0"/>
      <w:marBottom w:val="0"/>
      <w:divBdr>
        <w:top w:val="none" w:sz="0" w:space="0" w:color="auto"/>
        <w:left w:val="none" w:sz="0" w:space="0" w:color="auto"/>
        <w:bottom w:val="none" w:sz="0" w:space="0" w:color="auto"/>
        <w:right w:val="none" w:sz="0" w:space="0" w:color="auto"/>
      </w:divBdr>
    </w:div>
    <w:div w:id="224462747">
      <w:bodyDiv w:val="1"/>
      <w:marLeft w:val="0"/>
      <w:marRight w:val="0"/>
      <w:marTop w:val="0"/>
      <w:marBottom w:val="0"/>
      <w:divBdr>
        <w:top w:val="none" w:sz="0" w:space="0" w:color="auto"/>
        <w:left w:val="none" w:sz="0" w:space="0" w:color="auto"/>
        <w:bottom w:val="none" w:sz="0" w:space="0" w:color="auto"/>
        <w:right w:val="none" w:sz="0" w:space="0" w:color="auto"/>
      </w:divBdr>
    </w:div>
    <w:div w:id="240068759">
      <w:bodyDiv w:val="1"/>
      <w:marLeft w:val="0"/>
      <w:marRight w:val="0"/>
      <w:marTop w:val="0"/>
      <w:marBottom w:val="0"/>
      <w:divBdr>
        <w:top w:val="none" w:sz="0" w:space="0" w:color="auto"/>
        <w:left w:val="none" w:sz="0" w:space="0" w:color="auto"/>
        <w:bottom w:val="none" w:sz="0" w:space="0" w:color="auto"/>
        <w:right w:val="none" w:sz="0" w:space="0" w:color="auto"/>
      </w:divBdr>
      <w:divsChild>
        <w:div w:id="490412148">
          <w:marLeft w:val="274"/>
          <w:marRight w:val="0"/>
          <w:marTop w:val="38"/>
          <w:marBottom w:val="0"/>
          <w:divBdr>
            <w:top w:val="none" w:sz="0" w:space="0" w:color="auto"/>
            <w:left w:val="none" w:sz="0" w:space="0" w:color="auto"/>
            <w:bottom w:val="none" w:sz="0" w:space="0" w:color="auto"/>
            <w:right w:val="none" w:sz="0" w:space="0" w:color="auto"/>
          </w:divBdr>
        </w:div>
        <w:div w:id="1109858456">
          <w:marLeft w:val="274"/>
          <w:marRight w:val="0"/>
          <w:marTop w:val="38"/>
          <w:marBottom w:val="0"/>
          <w:divBdr>
            <w:top w:val="none" w:sz="0" w:space="0" w:color="auto"/>
            <w:left w:val="none" w:sz="0" w:space="0" w:color="auto"/>
            <w:bottom w:val="none" w:sz="0" w:space="0" w:color="auto"/>
            <w:right w:val="none" w:sz="0" w:space="0" w:color="auto"/>
          </w:divBdr>
        </w:div>
        <w:div w:id="2088116467">
          <w:marLeft w:val="274"/>
          <w:marRight w:val="0"/>
          <w:marTop w:val="38"/>
          <w:marBottom w:val="0"/>
          <w:divBdr>
            <w:top w:val="none" w:sz="0" w:space="0" w:color="auto"/>
            <w:left w:val="none" w:sz="0" w:space="0" w:color="auto"/>
            <w:bottom w:val="none" w:sz="0" w:space="0" w:color="auto"/>
            <w:right w:val="none" w:sz="0" w:space="0" w:color="auto"/>
          </w:divBdr>
        </w:div>
      </w:divsChild>
    </w:div>
    <w:div w:id="307364407">
      <w:bodyDiv w:val="1"/>
      <w:marLeft w:val="0"/>
      <w:marRight w:val="0"/>
      <w:marTop w:val="0"/>
      <w:marBottom w:val="0"/>
      <w:divBdr>
        <w:top w:val="none" w:sz="0" w:space="0" w:color="auto"/>
        <w:left w:val="none" w:sz="0" w:space="0" w:color="auto"/>
        <w:bottom w:val="none" w:sz="0" w:space="0" w:color="auto"/>
        <w:right w:val="none" w:sz="0" w:space="0" w:color="auto"/>
      </w:divBdr>
    </w:div>
    <w:div w:id="336616995">
      <w:bodyDiv w:val="1"/>
      <w:marLeft w:val="0"/>
      <w:marRight w:val="0"/>
      <w:marTop w:val="0"/>
      <w:marBottom w:val="0"/>
      <w:divBdr>
        <w:top w:val="none" w:sz="0" w:space="0" w:color="auto"/>
        <w:left w:val="none" w:sz="0" w:space="0" w:color="auto"/>
        <w:bottom w:val="none" w:sz="0" w:space="0" w:color="auto"/>
        <w:right w:val="none" w:sz="0" w:space="0" w:color="auto"/>
      </w:divBdr>
    </w:div>
    <w:div w:id="342588829">
      <w:bodyDiv w:val="1"/>
      <w:marLeft w:val="0"/>
      <w:marRight w:val="0"/>
      <w:marTop w:val="0"/>
      <w:marBottom w:val="0"/>
      <w:divBdr>
        <w:top w:val="none" w:sz="0" w:space="0" w:color="auto"/>
        <w:left w:val="none" w:sz="0" w:space="0" w:color="auto"/>
        <w:bottom w:val="none" w:sz="0" w:space="0" w:color="auto"/>
        <w:right w:val="none" w:sz="0" w:space="0" w:color="auto"/>
      </w:divBdr>
    </w:div>
    <w:div w:id="343367517">
      <w:bodyDiv w:val="1"/>
      <w:marLeft w:val="0"/>
      <w:marRight w:val="0"/>
      <w:marTop w:val="0"/>
      <w:marBottom w:val="0"/>
      <w:divBdr>
        <w:top w:val="none" w:sz="0" w:space="0" w:color="auto"/>
        <w:left w:val="none" w:sz="0" w:space="0" w:color="auto"/>
        <w:bottom w:val="none" w:sz="0" w:space="0" w:color="auto"/>
        <w:right w:val="none" w:sz="0" w:space="0" w:color="auto"/>
      </w:divBdr>
    </w:div>
    <w:div w:id="355739351">
      <w:bodyDiv w:val="1"/>
      <w:marLeft w:val="0"/>
      <w:marRight w:val="0"/>
      <w:marTop w:val="0"/>
      <w:marBottom w:val="0"/>
      <w:divBdr>
        <w:top w:val="none" w:sz="0" w:space="0" w:color="auto"/>
        <w:left w:val="none" w:sz="0" w:space="0" w:color="auto"/>
        <w:bottom w:val="none" w:sz="0" w:space="0" w:color="auto"/>
        <w:right w:val="none" w:sz="0" w:space="0" w:color="auto"/>
      </w:divBdr>
    </w:div>
    <w:div w:id="484128341">
      <w:bodyDiv w:val="1"/>
      <w:marLeft w:val="0"/>
      <w:marRight w:val="0"/>
      <w:marTop w:val="0"/>
      <w:marBottom w:val="0"/>
      <w:divBdr>
        <w:top w:val="none" w:sz="0" w:space="0" w:color="auto"/>
        <w:left w:val="none" w:sz="0" w:space="0" w:color="auto"/>
        <w:bottom w:val="none" w:sz="0" w:space="0" w:color="auto"/>
        <w:right w:val="none" w:sz="0" w:space="0" w:color="auto"/>
      </w:divBdr>
      <w:divsChild>
        <w:div w:id="303314391">
          <w:marLeft w:val="0"/>
          <w:marRight w:val="0"/>
          <w:marTop w:val="0"/>
          <w:marBottom w:val="0"/>
          <w:divBdr>
            <w:top w:val="none" w:sz="0" w:space="0" w:color="auto"/>
            <w:left w:val="none" w:sz="0" w:space="0" w:color="auto"/>
            <w:bottom w:val="none" w:sz="0" w:space="0" w:color="auto"/>
            <w:right w:val="none" w:sz="0" w:space="0" w:color="auto"/>
          </w:divBdr>
        </w:div>
        <w:div w:id="611939907">
          <w:marLeft w:val="-240"/>
          <w:marRight w:val="-240"/>
          <w:marTop w:val="0"/>
          <w:marBottom w:val="0"/>
          <w:divBdr>
            <w:top w:val="none" w:sz="0" w:space="0" w:color="auto"/>
            <w:left w:val="none" w:sz="0" w:space="0" w:color="auto"/>
            <w:bottom w:val="none" w:sz="0" w:space="0" w:color="auto"/>
            <w:right w:val="none" w:sz="0" w:space="0" w:color="auto"/>
          </w:divBdr>
          <w:divsChild>
            <w:div w:id="850487344">
              <w:marLeft w:val="0"/>
              <w:marRight w:val="0"/>
              <w:marTop w:val="0"/>
              <w:marBottom w:val="0"/>
              <w:divBdr>
                <w:top w:val="none" w:sz="0" w:space="0" w:color="auto"/>
                <w:left w:val="none" w:sz="0" w:space="0" w:color="auto"/>
                <w:bottom w:val="none" w:sz="0" w:space="0" w:color="auto"/>
                <w:right w:val="none" w:sz="0" w:space="0" w:color="auto"/>
              </w:divBdr>
              <w:divsChild>
                <w:div w:id="5934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7898">
      <w:bodyDiv w:val="1"/>
      <w:marLeft w:val="0"/>
      <w:marRight w:val="0"/>
      <w:marTop w:val="0"/>
      <w:marBottom w:val="0"/>
      <w:divBdr>
        <w:top w:val="none" w:sz="0" w:space="0" w:color="auto"/>
        <w:left w:val="none" w:sz="0" w:space="0" w:color="auto"/>
        <w:bottom w:val="none" w:sz="0" w:space="0" w:color="auto"/>
        <w:right w:val="none" w:sz="0" w:space="0" w:color="auto"/>
      </w:divBdr>
      <w:divsChild>
        <w:div w:id="1257129666">
          <w:marLeft w:val="0"/>
          <w:marRight w:val="0"/>
          <w:marTop w:val="0"/>
          <w:marBottom w:val="0"/>
          <w:divBdr>
            <w:top w:val="none" w:sz="0" w:space="0" w:color="auto"/>
            <w:left w:val="none" w:sz="0" w:space="0" w:color="auto"/>
            <w:bottom w:val="none" w:sz="0" w:space="0" w:color="auto"/>
            <w:right w:val="none" w:sz="0" w:space="0" w:color="auto"/>
          </w:divBdr>
          <w:divsChild>
            <w:div w:id="1096637178">
              <w:marLeft w:val="0"/>
              <w:marRight w:val="0"/>
              <w:marTop w:val="0"/>
              <w:marBottom w:val="0"/>
              <w:divBdr>
                <w:top w:val="none" w:sz="0" w:space="0" w:color="auto"/>
                <w:left w:val="none" w:sz="0" w:space="0" w:color="auto"/>
                <w:bottom w:val="none" w:sz="0" w:space="0" w:color="auto"/>
                <w:right w:val="none" w:sz="0" w:space="0" w:color="auto"/>
              </w:divBdr>
              <w:divsChild>
                <w:div w:id="571356152">
                  <w:marLeft w:val="0"/>
                  <w:marRight w:val="0"/>
                  <w:marTop w:val="0"/>
                  <w:marBottom w:val="0"/>
                  <w:divBdr>
                    <w:top w:val="none" w:sz="0" w:space="0" w:color="auto"/>
                    <w:left w:val="none" w:sz="0" w:space="0" w:color="auto"/>
                    <w:bottom w:val="none" w:sz="0" w:space="0" w:color="auto"/>
                    <w:right w:val="none" w:sz="0" w:space="0" w:color="auto"/>
                  </w:divBdr>
                  <w:divsChild>
                    <w:div w:id="1498888714">
                      <w:marLeft w:val="0"/>
                      <w:marRight w:val="0"/>
                      <w:marTop w:val="0"/>
                      <w:marBottom w:val="0"/>
                      <w:divBdr>
                        <w:top w:val="none" w:sz="0" w:space="0" w:color="auto"/>
                        <w:left w:val="none" w:sz="0" w:space="0" w:color="auto"/>
                        <w:bottom w:val="none" w:sz="0" w:space="0" w:color="auto"/>
                        <w:right w:val="none" w:sz="0" w:space="0" w:color="auto"/>
                      </w:divBdr>
                      <w:divsChild>
                        <w:div w:id="637958475">
                          <w:marLeft w:val="0"/>
                          <w:marRight w:val="0"/>
                          <w:marTop w:val="0"/>
                          <w:marBottom w:val="0"/>
                          <w:divBdr>
                            <w:top w:val="none" w:sz="0" w:space="0" w:color="auto"/>
                            <w:left w:val="none" w:sz="0" w:space="0" w:color="auto"/>
                            <w:bottom w:val="none" w:sz="0" w:space="0" w:color="auto"/>
                            <w:right w:val="none" w:sz="0" w:space="0" w:color="auto"/>
                          </w:divBdr>
                          <w:divsChild>
                            <w:div w:id="354237174">
                              <w:marLeft w:val="0"/>
                              <w:marRight w:val="0"/>
                              <w:marTop w:val="0"/>
                              <w:marBottom w:val="0"/>
                              <w:divBdr>
                                <w:top w:val="none" w:sz="0" w:space="0" w:color="auto"/>
                                <w:left w:val="none" w:sz="0" w:space="0" w:color="auto"/>
                                <w:bottom w:val="none" w:sz="0" w:space="0" w:color="auto"/>
                                <w:right w:val="none" w:sz="0" w:space="0" w:color="auto"/>
                              </w:divBdr>
                              <w:divsChild>
                                <w:div w:id="170024323">
                                  <w:marLeft w:val="0"/>
                                  <w:marRight w:val="0"/>
                                  <w:marTop w:val="0"/>
                                  <w:marBottom w:val="0"/>
                                  <w:divBdr>
                                    <w:top w:val="none" w:sz="0" w:space="0" w:color="auto"/>
                                    <w:left w:val="none" w:sz="0" w:space="0" w:color="auto"/>
                                    <w:bottom w:val="none" w:sz="0" w:space="0" w:color="auto"/>
                                    <w:right w:val="none" w:sz="0" w:space="0" w:color="auto"/>
                                  </w:divBdr>
                                  <w:divsChild>
                                    <w:div w:id="258222193">
                                      <w:marLeft w:val="0"/>
                                      <w:marRight w:val="0"/>
                                      <w:marTop w:val="0"/>
                                      <w:marBottom w:val="0"/>
                                      <w:divBdr>
                                        <w:top w:val="none" w:sz="0" w:space="0" w:color="auto"/>
                                        <w:left w:val="none" w:sz="0" w:space="0" w:color="auto"/>
                                        <w:bottom w:val="none" w:sz="0" w:space="0" w:color="auto"/>
                                        <w:right w:val="none" w:sz="0" w:space="0" w:color="auto"/>
                                      </w:divBdr>
                                      <w:divsChild>
                                        <w:div w:id="179899523">
                                          <w:marLeft w:val="0"/>
                                          <w:marRight w:val="0"/>
                                          <w:marTop w:val="0"/>
                                          <w:marBottom w:val="0"/>
                                          <w:divBdr>
                                            <w:top w:val="none" w:sz="0" w:space="0" w:color="auto"/>
                                            <w:left w:val="none" w:sz="0" w:space="0" w:color="auto"/>
                                            <w:bottom w:val="none" w:sz="0" w:space="0" w:color="auto"/>
                                            <w:right w:val="none" w:sz="0" w:space="0" w:color="auto"/>
                                          </w:divBdr>
                                          <w:divsChild>
                                            <w:div w:id="1236428771">
                                              <w:marLeft w:val="0"/>
                                              <w:marRight w:val="0"/>
                                              <w:marTop w:val="0"/>
                                              <w:marBottom w:val="0"/>
                                              <w:divBdr>
                                                <w:top w:val="none" w:sz="0" w:space="0" w:color="auto"/>
                                                <w:left w:val="none" w:sz="0" w:space="0" w:color="auto"/>
                                                <w:bottom w:val="none" w:sz="0" w:space="0" w:color="auto"/>
                                                <w:right w:val="none" w:sz="0" w:space="0" w:color="auto"/>
                                              </w:divBdr>
                                              <w:divsChild>
                                                <w:div w:id="2008097913">
                                                  <w:marLeft w:val="0"/>
                                                  <w:marRight w:val="0"/>
                                                  <w:marTop w:val="0"/>
                                                  <w:marBottom w:val="0"/>
                                                  <w:divBdr>
                                                    <w:top w:val="none" w:sz="0" w:space="0" w:color="auto"/>
                                                    <w:left w:val="none" w:sz="0" w:space="0" w:color="auto"/>
                                                    <w:bottom w:val="none" w:sz="0" w:space="0" w:color="auto"/>
                                                    <w:right w:val="none" w:sz="0" w:space="0" w:color="auto"/>
                                                  </w:divBdr>
                                                  <w:divsChild>
                                                    <w:div w:id="1729375652">
                                                      <w:marLeft w:val="0"/>
                                                      <w:marRight w:val="0"/>
                                                      <w:marTop w:val="0"/>
                                                      <w:marBottom w:val="0"/>
                                                      <w:divBdr>
                                                        <w:top w:val="none" w:sz="0" w:space="0" w:color="auto"/>
                                                        <w:left w:val="none" w:sz="0" w:space="0" w:color="auto"/>
                                                        <w:bottom w:val="none" w:sz="0" w:space="0" w:color="auto"/>
                                                        <w:right w:val="none" w:sz="0" w:space="0" w:color="auto"/>
                                                      </w:divBdr>
                                                      <w:divsChild>
                                                        <w:div w:id="891187734">
                                                          <w:marLeft w:val="0"/>
                                                          <w:marRight w:val="0"/>
                                                          <w:marTop w:val="0"/>
                                                          <w:marBottom w:val="0"/>
                                                          <w:divBdr>
                                                            <w:top w:val="none" w:sz="0" w:space="0" w:color="auto"/>
                                                            <w:left w:val="none" w:sz="0" w:space="0" w:color="auto"/>
                                                            <w:bottom w:val="none" w:sz="0" w:space="0" w:color="auto"/>
                                                            <w:right w:val="none" w:sz="0" w:space="0" w:color="auto"/>
                                                          </w:divBdr>
                                                          <w:divsChild>
                                                            <w:div w:id="188295592">
                                                              <w:marLeft w:val="0"/>
                                                              <w:marRight w:val="0"/>
                                                              <w:marTop w:val="0"/>
                                                              <w:marBottom w:val="0"/>
                                                              <w:divBdr>
                                                                <w:top w:val="none" w:sz="0" w:space="0" w:color="auto"/>
                                                                <w:left w:val="none" w:sz="0" w:space="0" w:color="auto"/>
                                                                <w:bottom w:val="none" w:sz="0" w:space="0" w:color="auto"/>
                                                                <w:right w:val="none" w:sz="0" w:space="0" w:color="auto"/>
                                                              </w:divBdr>
                                                              <w:divsChild>
                                                                <w:div w:id="546533327">
                                                                  <w:marLeft w:val="0"/>
                                                                  <w:marRight w:val="0"/>
                                                                  <w:marTop w:val="0"/>
                                                                  <w:marBottom w:val="0"/>
                                                                  <w:divBdr>
                                                                    <w:top w:val="none" w:sz="0" w:space="0" w:color="auto"/>
                                                                    <w:left w:val="none" w:sz="0" w:space="0" w:color="auto"/>
                                                                    <w:bottom w:val="none" w:sz="0" w:space="0" w:color="auto"/>
                                                                    <w:right w:val="none" w:sz="0" w:space="0" w:color="auto"/>
                                                                  </w:divBdr>
                                                                  <w:divsChild>
                                                                    <w:div w:id="1794980829">
                                                                      <w:marLeft w:val="0"/>
                                                                      <w:marRight w:val="0"/>
                                                                      <w:marTop w:val="0"/>
                                                                      <w:marBottom w:val="0"/>
                                                                      <w:divBdr>
                                                                        <w:top w:val="none" w:sz="0" w:space="0" w:color="auto"/>
                                                                        <w:left w:val="none" w:sz="0" w:space="0" w:color="auto"/>
                                                                        <w:bottom w:val="none" w:sz="0" w:space="0" w:color="auto"/>
                                                                        <w:right w:val="none" w:sz="0" w:space="0" w:color="auto"/>
                                                                      </w:divBdr>
                                                                      <w:divsChild>
                                                                        <w:div w:id="1524589906">
                                                                          <w:marLeft w:val="0"/>
                                                                          <w:marRight w:val="0"/>
                                                                          <w:marTop w:val="0"/>
                                                                          <w:marBottom w:val="0"/>
                                                                          <w:divBdr>
                                                                            <w:top w:val="none" w:sz="0" w:space="0" w:color="auto"/>
                                                                            <w:left w:val="none" w:sz="0" w:space="0" w:color="auto"/>
                                                                            <w:bottom w:val="none" w:sz="0" w:space="0" w:color="auto"/>
                                                                            <w:right w:val="none" w:sz="0" w:space="0" w:color="auto"/>
                                                                          </w:divBdr>
                                                                          <w:divsChild>
                                                                            <w:div w:id="19037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922320">
      <w:bodyDiv w:val="1"/>
      <w:marLeft w:val="0"/>
      <w:marRight w:val="0"/>
      <w:marTop w:val="0"/>
      <w:marBottom w:val="0"/>
      <w:divBdr>
        <w:top w:val="none" w:sz="0" w:space="0" w:color="auto"/>
        <w:left w:val="none" w:sz="0" w:space="0" w:color="auto"/>
        <w:bottom w:val="none" w:sz="0" w:space="0" w:color="auto"/>
        <w:right w:val="none" w:sz="0" w:space="0" w:color="auto"/>
      </w:divBdr>
    </w:div>
    <w:div w:id="800466650">
      <w:bodyDiv w:val="1"/>
      <w:marLeft w:val="0"/>
      <w:marRight w:val="0"/>
      <w:marTop w:val="0"/>
      <w:marBottom w:val="0"/>
      <w:divBdr>
        <w:top w:val="none" w:sz="0" w:space="0" w:color="auto"/>
        <w:left w:val="none" w:sz="0" w:space="0" w:color="auto"/>
        <w:bottom w:val="none" w:sz="0" w:space="0" w:color="auto"/>
        <w:right w:val="none" w:sz="0" w:space="0" w:color="auto"/>
      </w:divBdr>
    </w:div>
    <w:div w:id="843980300">
      <w:bodyDiv w:val="1"/>
      <w:marLeft w:val="0"/>
      <w:marRight w:val="0"/>
      <w:marTop w:val="0"/>
      <w:marBottom w:val="0"/>
      <w:divBdr>
        <w:top w:val="none" w:sz="0" w:space="0" w:color="auto"/>
        <w:left w:val="none" w:sz="0" w:space="0" w:color="auto"/>
        <w:bottom w:val="none" w:sz="0" w:space="0" w:color="auto"/>
        <w:right w:val="none" w:sz="0" w:space="0" w:color="auto"/>
      </w:divBdr>
    </w:div>
    <w:div w:id="868032877">
      <w:bodyDiv w:val="1"/>
      <w:marLeft w:val="0"/>
      <w:marRight w:val="0"/>
      <w:marTop w:val="0"/>
      <w:marBottom w:val="0"/>
      <w:divBdr>
        <w:top w:val="none" w:sz="0" w:space="0" w:color="auto"/>
        <w:left w:val="none" w:sz="0" w:space="0" w:color="auto"/>
        <w:bottom w:val="none" w:sz="0" w:space="0" w:color="auto"/>
        <w:right w:val="none" w:sz="0" w:space="0" w:color="auto"/>
      </w:divBdr>
    </w:div>
    <w:div w:id="878325987">
      <w:bodyDiv w:val="1"/>
      <w:marLeft w:val="0"/>
      <w:marRight w:val="0"/>
      <w:marTop w:val="0"/>
      <w:marBottom w:val="0"/>
      <w:divBdr>
        <w:top w:val="none" w:sz="0" w:space="0" w:color="auto"/>
        <w:left w:val="none" w:sz="0" w:space="0" w:color="auto"/>
        <w:bottom w:val="none" w:sz="0" w:space="0" w:color="auto"/>
        <w:right w:val="none" w:sz="0" w:space="0" w:color="auto"/>
      </w:divBdr>
    </w:div>
    <w:div w:id="951398897">
      <w:bodyDiv w:val="1"/>
      <w:marLeft w:val="0"/>
      <w:marRight w:val="0"/>
      <w:marTop w:val="0"/>
      <w:marBottom w:val="0"/>
      <w:divBdr>
        <w:top w:val="none" w:sz="0" w:space="0" w:color="auto"/>
        <w:left w:val="none" w:sz="0" w:space="0" w:color="auto"/>
        <w:bottom w:val="none" w:sz="0" w:space="0" w:color="auto"/>
        <w:right w:val="none" w:sz="0" w:space="0" w:color="auto"/>
      </w:divBdr>
    </w:div>
    <w:div w:id="995644139">
      <w:bodyDiv w:val="1"/>
      <w:marLeft w:val="0"/>
      <w:marRight w:val="0"/>
      <w:marTop w:val="0"/>
      <w:marBottom w:val="0"/>
      <w:divBdr>
        <w:top w:val="none" w:sz="0" w:space="0" w:color="auto"/>
        <w:left w:val="none" w:sz="0" w:space="0" w:color="auto"/>
        <w:bottom w:val="none" w:sz="0" w:space="0" w:color="auto"/>
        <w:right w:val="none" w:sz="0" w:space="0" w:color="auto"/>
      </w:divBdr>
    </w:div>
    <w:div w:id="1004480644">
      <w:bodyDiv w:val="1"/>
      <w:marLeft w:val="0"/>
      <w:marRight w:val="0"/>
      <w:marTop w:val="0"/>
      <w:marBottom w:val="0"/>
      <w:divBdr>
        <w:top w:val="none" w:sz="0" w:space="0" w:color="auto"/>
        <w:left w:val="none" w:sz="0" w:space="0" w:color="auto"/>
        <w:bottom w:val="none" w:sz="0" w:space="0" w:color="auto"/>
        <w:right w:val="none" w:sz="0" w:space="0" w:color="auto"/>
      </w:divBdr>
    </w:div>
    <w:div w:id="1018699610">
      <w:bodyDiv w:val="1"/>
      <w:marLeft w:val="0"/>
      <w:marRight w:val="0"/>
      <w:marTop w:val="0"/>
      <w:marBottom w:val="0"/>
      <w:divBdr>
        <w:top w:val="none" w:sz="0" w:space="0" w:color="auto"/>
        <w:left w:val="none" w:sz="0" w:space="0" w:color="auto"/>
        <w:bottom w:val="none" w:sz="0" w:space="0" w:color="auto"/>
        <w:right w:val="none" w:sz="0" w:space="0" w:color="auto"/>
      </w:divBdr>
    </w:div>
    <w:div w:id="1026298333">
      <w:bodyDiv w:val="1"/>
      <w:marLeft w:val="0"/>
      <w:marRight w:val="0"/>
      <w:marTop w:val="0"/>
      <w:marBottom w:val="0"/>
      <w:divBdr>
        <w:top w:val="none" w:sz="0" w:space="0" w:color="auto"/>
        <w:left w:val="none" w:sz="0" w:space="0" w:color="auto"/>
        <w:bottom w:val="none" w:sz="0" w:space="0" w:color="auto"/>
        <w:right w:val="none" w:sz="0" w:space="0" w:color="auto"/>
      </w:divBdr>
    </w:div>
    <w:div w:id="1046486956">
      <w:bodyDiv w:val="1"/>
      <w:marLeft w:val="0"/>
      <w:marRight w:val="0"/>
      <w:marTop w:val="0"/>
      <w:marBottom w:val="0"/>
      <w:divBdr>
        <w:top w:val="none" w:sz="0" w:space="0" w:color="auto"/>
        <w:left w:val="none" w:sz="0" w:space="0" w:color="auto"/>
        <w:bottom w:val="none" w:sz="0" w:space="0" w:color="auto"/>
        <w:right w:val="none" w:sz="0" w:space="0" w:color="auto"/>
      </w:divBdr>
    </w:div>
    <w:div w:id="1052119248">
      <w:bodyDiv w:val="1"/>
      <w:marLeft w:val="0"/>
      <w:marRight w:val="0"/>
      <w:marTop w:val="0"/>
      <w:marBottom w:val="0"/>
      <w:divBdr>
        <w:top w:val="none" w:sz="0" w:space="0" w:color="auto"/>
        <w:left w:val="none" w:sz="0" w:space="0" w:color="auto"/>
        <w:bottom w:val="none" w:sz="0" w:space="0" w:color="auto"/>
        <w:right w:val="none" w:sz="0" w:space="0" w:color="auto"/>
      </w:divBdr>
    </w:div>
    <w:div w:id="1065839418">
      <w:bodyDiv w:val="1"/>
      <w:marLeft w:val="0"/>
      <w:marRight w:val="0"/>
      <w:marTop w:val="0"/>
      <w:marBottom w:val="0"/>
      <w:divBdr>
        <w:top w:val="none" w:sz="0" w:space="0" w:color="auto"/>
        <w:left w:val="none" w:sz="0" w:space="0" w:color="auto"/>
        <w:bottom w:val="none" w:sz="0" w:space="0" w:color="auto"/>
        <w:right w:val="none" w:sz="0" w:space="0" w:color="auto"/>
      </w:divBdr>
    </w:div>
    <w:div w:id="1091199368">
      <w:bodyDiv w:val="1"/>
      <w:marLeft w:val="0"/>
      <w:marRight w:val="0"/>
      <w:marTop w:val="0"/>
      <w:marBottom w:val="0"/>
      <w:divBdr>
        <w:top w:val="none" w:sz="0" w:space="0" w:color="auto"/>
        <w:left w:val="none" w:sz="0" w:space="0" w:color="auto"/>
        <w:bottom w:val="none" w:sz="0" w:space="0" w:color="auto"/>
        <w:right w:val="none" w:sz="0" w:space="0" w:color="auto"/>
      </w:divBdr>
    </w:div>
    <w:div w:id="1143889020">
      <w:bodyDiv w:val="1"/>
      <w:marLeft w:val="0"/>
      <w:marRight w:val="0"/>
      <w:marTop w:val="0"/>
      <w:marBottom w:val="0"/>
      <w:divBdr>
        <w:top w:val="none" w:sz="0" w:space="0" w:color="auto"/>
        <w:left w:val="none" w:sz="0" w:space="0" w:color="auto"/>
        <w:bottom w:val="none" w:sz="0" w:space="0" w:color="auto"/>
        <w:right w:val="none" w:sz="0" w:space="0" w:color="auto"/>
      </w:divBdr>
    </w:div>
    <w:div w:id="1202088998">
      <w:bodyDiv w:val="1"/>
      <w:marLeft w:val="0"/>
      <w:marRight w:val="0"/>
      <w:marTop w:val="0"/>
      <w:marBottom w:val="0"/>
      <w:divBdr>
        <w:top w:val="none" w:sz="0" w:space="0" w:color="auto"/>
        <w:left w:val="none" w:sz="0" w:space="0" w:color="auto"/>
        <w:bottom w:val="none" w:sz="0" w:space="0" w:color="auto"/>
        <w:right w:val="none" w:sz="0" w:space="0" w:color="auto"/>
      </w:divBdr>
    </w:div>
    <w:div w:id="1208252451">
      <w:bodyDiv w:val="1"/>
      <w:marLeft w:val="0"/>
      <w:marRight w:val="0"/>
      <w:marTop w:val="0"/>
      <w:marBottom w:val="0"/>
      <w:divBdr>
        <w:top w:val="none" w:sz="0" w:space="0" w:color="auto"/>
        <w:left w:val="none" w:sz="0" w:space="0" w:color="auto"/>
        <w:bottom w:val="none" w:sz="0" w:space="0" w:color="auto"/>
        <w:right w:val="none" w:sz="0" w:space="0" w:color="auto"/>
      </w:divBdr>
    </w:div>
    <w:div w:id="1373731710">
      <w:bodyDiv w:val="1"/>
      <w:marLeft w:val="0"/>
      <w:marRight w:val="0"/>
      <w:marTop w:val="0"/>
      <w:marBottom w:val="0"/>
      <w:divBdr>
        <w:top w:val="none" w:sz="0" w:space="0" w:color="auto"/>
        <w:left w:val="none" w:sz="0" w:space="0" w:color="auto"/>
        <w:bottom w:val="none" w:sz="0" w:space="0" w:color="auto"/>
        <w:right w:val="none" w:sz="0" w:space="0" w:color="auto"/>
      </w:divBdr>
      <w:divsChild>
        <w:div w:id="1473018685">
          <w:marLeft w:val="0"/>
          <w:marRight w:val="0"/>
          <w:marTop w:val="0"/>
          <w:marBottom w:val="0"/>
          <w:divBdr>
            <w:top w:val="none" w:sz="0" w:space="0" w:color="auto"/>
            <w:left w:val="none" w:sz="0" w:space="0" w:color="auto"/>
            <w:bottom w:val="none" w:sz="0" w:space="0" w:color="auto"/>
            <w:right w:val="none" w:sz="0" w:space="0" w:color="auto"/>
          </w:divBdr>
        </w:div>
        <w:div w:id="2020883707">
          <w:marLeft w:val="0"/>
          <w:marRight w:val="0"/>
          <w:marTop w:val="0"/>
          <w:marBottom w:val="0"/>
          <w:divBdr>
            <w:top w:val="none" w:sz="0" w:space="0" w:color="auto"/>
            <w:left w:val="none" w:sz="0" w:space="0" w:color="auto"/>
            <w:bottom w:val="none" w:sz="0" w:space="0" w:color="auto"/>
            <w:right w:val="none" w:sz="0" w:space="0" w:color="auto"/>
          </w:divBdr>
        </w:div>
        <w:div w:id="2146772885">
          <w:marLeft w:val="0"/>
          <w:marRight w:val="0"/>
          <w:marTop w:val="0"/>
          <w:marBottom w:val="0"/>
          <w:divBdr>
            <w:top w:val="none" w:sz="0" w:space="0" w:color="auto"/>
            <w:left w:val="none" w:sz="0" w:space="0" w:color="auto"/>
            <w:bottom w:val="none" w:sz="0" w:space="0" w:color="auto"/>
            <w:right w:val="none" w:sz="0" w:space="0" w:color="auto"/>
          </w:divBdr>
        </w:div>
        <w:div w:id="635110036">
          <w:marLeft w:val="0"/>
          <w:marRight w:val="0"/>
          <w:marTop w:val="0"/>
          <w:marBottom w:val="0"/>
          <w:divBdr>
            <w:top w:val="none" w:sz="0" w:space="0" w:color="auto"/>
            <w:left w:val="none" w:sz="0" w:space="0" w:color="auto"/>
            <w:bottom w:val="none" w:sz="0" w:space="0" w:color="auto"/>
            <w:right w:val="none" w:sz="0" w:space="0" w:color="auto"/>
          </w:divBdr>
        </w:div>
        <w:div w:id="1840533181">
          <w:marLeft w:val="0"/>
          <w:marRight w:val="0"/>
          <w:marTop w:val="0"/>
          <w:marBottom w:val="0"/>
          <w:divBdr>
            <w:top w:val="none" w:sz="0" w:space="0" w:color="auto"/>
            <w:left w:val="none" w:sz="0" w:space="0" w:color="auto"/>
            <w:bottom w:val="none" w:sz="0" w:space="0" w:color="auto"/>
            <w:right w:val="none" w:sz="0" w:space="0" w:color="auto"/>
          </w:divBdr>
        </w:div>
      </w:divsChild>
    </w:div>
    <w:div w:id="1389036270">
      <w:bodyDiv w:val="1"/>
      <w:marLeft w:val="0"/>
      <w:marRight w:val="0"/>
      <w:marTop w:val="0"/>
      <w:marBottom w:val="0"/>
      <w:divBdr>
        <w:top w:val="none" w:sz="0" w:space="0" w:color="auto"/>
        <w:left w:val="none" w:sz="0" w:space="0" w:color="auto"/>
        <w:bottom w:val="none" w:sz="0" w:space="0" w:color="auto"/>
        <w:right w:val="none" w:sz="0" w:space="0" w:color="auto"/>
      </w:divBdr>
    </w:div>
    <w:div w:id="1403408599">
      <w:bodyDiv w:val="1"/>
      <w:marLeft w:val="0"/>
      <w:marRight w:val="0"/>
      <w:marTop w:val="0"/>
      <w:marBottom w:val="0"/>
      <w:divBdr>
        <w:top w:val="none" w:sz="0" w:space="0" w:color="auto"/>
        <w:left w:val="none" w:sz="0" w:space="0" w:color="auto"/>
        <w:bottom w:val="none" w:sz="0" w:space="0" w:color="auto"/>
        <w:right w:val="none" w:sz="0" w:space="0" w:color="auto"/>
      </w:divBdr>
    </w:div>
    <w:div w:id="1441100189">
      <w:bodyDiv w:val="1"/>
      <w:marLeft w:val="0"/>
      <w:marRight w:val="0"/>
      <w:marTop w:val="0"/>
      <w:marBottom w:val="0"/>
      <w:divBdr>
        <w:top w:val="none" w:sz="0" w:space="0" w:color="auto"/>
        <w:left w:val="none" w:sz="0" w:space="0" w:color="auto"/>
        <w:bottom w:val="none" w:sz="0" w:space="0" w:color="auto"/>
        <w:right w:val="none" w:sz="0" w:space="0" w:color="auto"/>
      </w:divBdr>
    </w:div>
    <w:div w:id="1532958201">
      <w:bodyDiv w:val="1"/>
      <w:marLeft w:val="0"/>
      <w:marRight w:val="0"/>
      <w:marTop w:val="0"/>
      <w:marBottom w:val="0"/>
      <w:divBdr>
        <w:top w:val="none" w:sz="0" w:space="0" w:color="auto"/>
        <w:left w:val="none" w:sz="0" w:space="0" w:color="auto"/>
        <w:bottom w:val="none" w:sz="0" w:space="0" w:color="auto"/>
        <w:right w:val="none" w:sz="0" w:space="0" w:color="auto"/>
      </w:divBdr>
    </w:div>
    <w:div w:id="1546870939">
      <w:bodyDiv w:val="1"/>
      <w:marLeft w:val="0"/>
      <w:marRight w:val="0"/>
      <w:marTop w:val="0"/>
      <w:marBottom w:val="0"/>
      <w:divBdr>
        <w:top w:val="none" w:sz="0" w:space="0" w:color="auto"/>
        <w:left w:val="none" w:sz="0" w:space="0" w:color="auto"/>
        <w:bottom w:val="none" w:sz="0" w:space="0" w:color="auto"/>
        <w:right w:val="none" w:sz="0" w:space="0" w:color="auto"/>
      </w:divBdr>
    </w:div>
    <w:div w:id="1618485265">
      <w:bodyDiv w:val="1"/>
      <w:marLeft w:val="0"/>
      <w:marRight w:val="0"/>
      <w:marTop w:val="0"/>
      <w:marBottom w:val="0"/>
      <w:divBdr>
        <w:top w:val="none" w:sz="0" w:space="0" w:color="auto"/>
        <w:left w:val="none" w:sz="0" w:space="0" w:color="auto"/>
        <w:bottom w:val="none" w:sz="0" w:space="0" w:color="auto"/>
        <w:right w:val="none" w:sz="0" w:space="0" w:color="auto"/>
      </w:divBdr>
    </w:div>
    <w:div w:id="1642880396">
      <w:bodyDiv w:val="1"/>
      <w:marLeft w:val="0"/>
      <w:marRight w:val="0"/>
      <w:marTop w:val="0"/>
      <w:marBottom w:val="0"/>
      <w:divBdr>
        <w:top w:val="none" w:sz="0" w:space="0" w:color="auto"/>
        <w:left w:val="none" w:sz="0" w:space="0" w:color="auto"/>
        <w:bottom w:val="none" w:sz="0" w:space="0" w:color="auto"/>
        <w:right w:val="none" w:sz="0" w:space="0" w:color="auto"/>
      </w:divBdr>
    </w:div>
    <w:div w:id="1645157708">
      <w:bodyDiv w:val="1"/>
      <w:marLeft w:val="0"/>
      <w:marRight w:val="0"/>
      <w:marTop w:val="0"/>
      <w:marBottom w:val="0"/>
      <w:divBdr>
        <w:top w:val="none" w:sz="0" w:space="0" w:color="auto"/>
        <w:left w:val="none" w:sz="0" w:space="0" w:color="auto"/>
        <w:bottom w:val="none" w:sz="0" w:space="0" w:color="auto"/>
        <w:right w:val="none" w:sz="0" w:space="0" w:color="auto"/>
      </w:divBdr>
    </w:div>
    <w:div w:id="1654528757">
      <w:bodyDiv w:val="1"/>
      <w:marLeft w:val="0"/>
      <w:marRight w:val="0"/>
      <w:marTop w:val="0"/>
      <w:marBottom w:val="0"/>
      <w:divBdr>
        <w:top w:val="none" w:sz="0" w:space="0" w:color="auto"/>
        <w:left w:val="none" w:sz="0" w:space="0" w:color="auto"/>
        <w:bottom w:val="none" w:sz="0" w:space="0" w:color="auto"/>
        <w:right w:val="none" w:sz="0" w:space="0" w:color="auto"/>
      </w:divBdr>
    </w:div>
    <w:div w:id="1659185459">
      <w:bodyDiv w:val="1"/>
      <w:marLeft w:val="0"/>
      <w:marRight w:val="0"/>
      <w:marTop w:val="0"/>
      <w:marBottom w:val="0"/>
      <w:divBdr>
        <w:top w:val="none" w:sz="0" w:space="0" w:color="auto"/>
        <w:left w:val="none" w:sz="0" w:space="0" w:color="auto"/>
        <w:bottom w:val="none" w:sz="0" w:space="0" w:color="auto"/>
        <w:right w:val="none" w:sz="0" w:space="0" w:color="auto"/>
      </w:divBdr>
    </w:div>
    <w:div w:id="1687100242">
      <w:bodyDiv w:val="1"/>
      <w:marLeft w:val="0"/>
      <w:marRight w:val="0"/>
      <w:marTop w:val="0"/>
      <w:marBottom w:val="0"/>
      <w:divBdr>
        <w:top w:val="none" w:sz="0" w:space="0" w:color="auto"/>
        <w:left w:val="none" w:sz="0" w:space="0" w:color="auto"/>
        <w:bottom w:val="none" w:sz="0" w:space="0" w:color="auto"/>
        <w:right w:val="none" w:sz="0" w:space="0" w:color="auto"/>
      </w:divBdr>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35048148">
      <w:bodyDiv w:val="1"/>
      <w:marLeft w:val="0"/>
      <w:marRight w:val="0"/>
      <w:marTop w:val="0"/>
      <w:marBottom w:val="0"/>
      <w:divBdr>
        <w:top w:val="none" w:sz="0" w:space="0" w:color="auto"/>
        <w:left w:val="none" w:sz="0" w:space="0" w:color="auto"/>
        <w:bottom w:val="none" w:sz="0" w:space="0" w:color="auto"/>
        <w:right w:val="none" w:sz="0" w:space="0" w:color="auto"/>
      </w:divBdr>
    </w:div>
    <w:div w:id="2030569385">
      <w:bodyDiv w:val="1"/>
      <w:marLeft w:val="0"/>
      <w:marRight w:val="0"/>
      <w:marTop w:val="0"/>
      <w:marBottom w:val="0"/>
      <w:divBdr>
        <w:top w:val="none" w:sz="0" w:space="0" w:color="auto"/>
        <w:left w:val="none" w:sz="0" w:space="0" w:color="auto"/>
        <w:bottom w:val="none" w:sz="0" w:space="0" w:color="auto"/>
        <w:right w:val="none" w:sz="0" w:space="0" w:color="auto"/>
      </w:divBdr>
    </w:div>
    <w:div w:id="2047172822">
      <w:bodyDiv w:val="1"/>
      <w:marLeft w:val="0"/>
      <w:marRight w:val="0"/>
      <w:marTop w:val="0"/>
      <w:marBottom w:val="0"/>
      <w:divBdr>
        <w:top w:val="none" w:sz="0" w:space="0" w:color="auto"/>
        <w:left w:val="none" w:sz="0" w:space="0" w:color="auto"/>
        <w:bottom w:val="none" w:sz="0" w:space="0" w:color="auto"/>
        <w:right w:val="none" w:sz="0" w:space="0" w:color="auto"/>
      </w:divBdr>
    </w:div>
    <w:div w:id="2068917260">
      <w:bodyDiv w:val="1"/>
      <w:marLeft w:val="0"/>
      <w:marRight w:val="0"/>
      <w:marTop w:val="0"/>
      <w:marBottom w:val="0"/>
      <w:divBdr>
        <w:top w:val="none" w:sz="0" w:space="0" w:color="auto"/>
        <w:left w:val="none" w:sz="0" w:space="0" w:color="auto"/>
        <w:bottom w:val="none" w:sz="0" w:space="0" w:color="auto"/>
        <w:right w:val="none" w:sz="0" w:space="0" w:color="auto"/>
      </w:divBdr>
    </w:div>
    <w:div w:id="2071297865">
      <w:bodyDiv w:val="1"/>
      <w:marLeft w:val="0"/>
      <w:marRight w:val="0"/>
      <w:marTop w:val="0"/>
      <w:marBottom w:val="0"/>
      <w:divBdr>
        <w:top w:val="none" w:sz="0" w:space="0" w:color="auto"/>
        <w:left w:val="none" w:sz="0" w:space="0" w:color="auto"/>
        <w:bottom w:val="none" w:sz="0" w:space="0" w:color="auto"/>
        <w:right w:val="none" w:sz="0" w:space="0" w:color="auto"/>
      </w:divBdr>
    </w:div>
    <w:div w:id="21180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re.axa-im.com/etf" TargetMode="External"/><Relationship Id="rId18" Type="http://schemas.openxmlformats.org/officeDocument/2006/relationships/hyperlink" Target="https://www.linkedin.com/company/axa-investment-manag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europa.eu/consumers/odr/main/?event=main.adr.show2"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xa-im.com"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jamie.wynn-williams@axa-im.com" TargetMode="External"/><Relationship Id="rId20" Type="http://schemas.openxmlformats.org/officeDocument/2006/relationships/hyperlink" Target="https://www.axa-im.c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amira.adjal@axa-im.com"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axa-im.com/uk/media-cent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ulie.marie@axa-im.com" TargetMode="External"/><Relationship Id="rId22" Type="http://schemas.openxmlformats.org/officeDocument/2006/relationships/hyperlink" Target="https://www.axa-im.com/what-is-sfd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XA IM">
      <a:dk1>
        <a:sysClr val="windowText" lastClr="000000"/>
      </a:dk1>
      <a:lt1>
        <a:sysClr val="window" lastClr="FFFFFF"/>
      </a:lt1>
      <a:dk2>
        <a:srgbClr val="00008F"/>
      </a:dk2>
      <a:lt2>
        <a:srgbClr val="C1D100"/>
      </a:lt2>
      <a:accent1>
        <a:srgbClr val="027180"/>
      </a:accent1>
      <a:accent2>
        <a:srgbClr val="E196AA"/>
      </a:accent2>
      <a:accent3>
        <a:srgbClr val="00ADC6"/>
      </a:accent3>
      <a:accent4>
        <a:srgbClr val="862567"/>
      </a:accent4>
      <a:accent5>
        <a:srgbClr val="DE6106"/>
      </a:accent5>
      <a:accent6>
        <a:srgbClr val="B5D0EE"/>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77515-3F7A-44F3-9623-340A0788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2240</Words>
  <Characters>12323</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Caillet</dc:creator>
  <cp:keywords/>
  <dc:description/>
  <cp:lastModifiedBy>Serge Vanbockryck</cp:lastModifiedBy>
  <cp:revision>6</cp:revision>
  <cp:lastPrinted>2020-02-19T18:01:00Z</cp:lastPrinted>
  <dcterms:created xsi:type="dcterms:W3CDTF">2024-09-25T13:05:00Z</dcterms:created>
  <dcterms:modified xsi:type="dcterms:W3CDTF">2024-09-26T08:35:00Z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4,5,6,7,8,9</vt:lpwstr>
  </property>
  <property fmtid="{D5CDD505-2E9C-101B-9397-08002B2CF9AE}" pid="3" name="ClassificationContentMarkingFooterFontProps">
    <vt:lpwstr>#000000,10,Calibri</vt:lpwstr>
  </property>
  <property fmtid="{D5CDD505-2E9C-101B-9397-08002B2CF9AE}" pid="4" name="ClassificationContentMarkingFooterText">
    <vt:lpwstr>AXA IM - RESTRICTED</vt:lpwstr>
  </property>
  <property fmtid="{D5CDD505-2E9C-101B-9397-08002B2CF9AE}" pid="5" name="MSIP_Label_f3b89073-f537-4fe2-a4ef-71907f8c184f_Enabled">
    <vt:lpwstr>true</vt:lpwstr>
  </property>
  <property fmtid="{D5CDD505-2E9C-101B-9397-08002B2CF9AE}" pid="6" name="MSIP_Label_f3b89073-f537-4fe2-a4ef-71907f8c184f_SetDate">
    <vt:lpwstr>2023-12-06T12:16:28Z</vt:lpwstr>
  </property>
  <property fmtid="{D5CDD505-2E9C-101B-9397-08002B2CF9AE}" pid="7" name="MSIP_Label_f3b89073-f537-4fe2-a4ef-71907f8c184f_Method">
    <vt:lpwstr>Privileged</vt:lpwstr>
  </property>
  <property fmtid="{D5CDD505-2E9C-101B-9397-08002B2CF9AE}" pid="8" name="MSIP_Label_f3b89073-f537-4fe2-a4ef-71907f8c184f_Name">
    <vt:lpwstr>INTERNAL</vt:lpwstr>
  </property>
  <property fmtid="{D5CDD505-2E9C-101B-9397-08002B2CF9AE}" pid="9" name="MSIP_Label_f3b89073-f537-4fe2-a4ef-71907f8c184f_SiteId">
    <vt:lpwstr>85f3dce2-9de5-43ba-8d73-76ef63954d34</vt:lpwstr>
  </property>
  <property fmtid="{D5CDD505-2E9C-101B-9397-08002B2CF9AE}" pid="10" name="MSIP_Label_f3b89073-f537-4fe2-a4ef-71907f8c184f_ActionId">
    <vt:lpwstr>5a3169b8-3da7-44ce-835f-92b8ef234be0</vt:lpwstr>
  </property>
  <property fmtid="{D5CDD505-2E9C-101B-9397-08002B2CF9AE}" pid="11" name="MSIP_Label_f3b89073-f537-4fe2-a4ef-71907f8c184f_ContentBits">
    <vt:lpwstr>2</vt:lpwstr>
  </property>
</Properties>
</file>